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4552D933" w14:textId="77777777" w:rsidTr="0047741D">
        <w:trPr>
          <w:gridAfter w:val="1"/>
          <w:wAfter w:w="2835" w:type="dxa"/>
          <w:cantSplit/>
          <w:trHeight w:val="569"/>
        </w:trPr>
        <w:tc>
          <w:tcPr>
            <w:tcW w:w="4786" w:type="dxa"/>
            <w:shd w:val="clear" w:color="auto" w:fill="BFBFBF"/>
            <w:vAlign w:val="center"/>
          </w:tcPr>
          <w:p w14:paraId="4552D931" w14:textId="77777777" w:rsidR="002F5C5E" w:rsidRPr="009E2B84" w:rsidRDefault="005666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4552DB10" wp14:editId="4552DB1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4552D932" w14:textId="77777777" w:rsidR="002F5C5E" w:rsidRPr="009E2B84" w:rsidRDefault="002F5C5E" w:rsidP="00AC4A99">
            <w:pPr>
              <w:jc w:val="center"/>
              <w:rPr>
                <w:b/>
              </w:rPr>
            </w:pPr>
            <w:r w:rsidRPr="009E2B84">
              <w:rPr>
                <w:b/>
              </w:rPr>
              <w:t>ON</w:t>
            </w:r>
          </w:p>
        </w:tc>
      </w:tr>
      <w:tr w:rsidR="002F5C5E" w:rsidRPr="009E2B84" w14:paraId="4552D936" w14:textId="77777777" w:rsidTr="0047741D">
        <w:trPr>
          <w:gridAfter w:val="1"/>
          <w:wAfter w:w="2835" w:type="dxa"/>
          <w:cantSplit/>
          <w:trHeight w:val="654"/>
        </w:trPr>
        <w:tc>
          <w:tcPr>
            <w:tcW w:w="4786" w:type="dxa"/>
            <w:tcBorders>
              <w:bottom w:val="nil"/>
            </w:tcBorders>
            <w:vAlign w:val="center"/>
          </w:tcPr>
          <w:p w14:paraId="4552D934" w14:textId="77777777" w:rsidR="002F5C5E" w:rsidRPr="00493D1A" w:rsidRDefault="00493D1A" w:rsidP="00AC4A99">
            <w:pPr>
              <w:jc w:val="center"/>
              <w:rPr>
                <w:b/>
                <w:szCs w:val="22"/>
              </w:rPr>
            </w:pPr>
            <w:r w:rsidRPr="00493D1A">
              <w:rPr>
                <w:b/>
                <w:szCs w:val="22"/>
              </w:rPr>
              <w:t>Shared Services Joint Committee</w:t>
            </w:r>
          </w:p>
        </w:tc>
        <w:tc>
          <w:tcPr>
            <w:tcW w:w="2268" w:type="dxa"/>
            <w:gridSpan w:val="2"/>
            <w:tcBorders>
              <w:bottom w:val="nil"/>
            </w:tcBorders>
            <w:vAlign w:val="center"/>
          </w:tcPr>
          <w:p w14:paraId="4552D935" w14:textId="61519BE4" w:rsidR="002F5C5E" w:rsidRPr="00493D1A" w:rsidRDefault="006D09CD" w:rsidP="006D09CD">
            <w:pPr>
              <w:jc w:val="center"/>
              <w:rPr>
                <w:b/>
              </w:rPr>
            </w:pPr>
            <w:r>
              <w:t>7</w:t>
            </w:r>
            <w:r w:rsidR="00493D1A" w:rsidRPr="00493D1A">
              <w:t xml:space="preserve"> February 2019</w:t>
            </w:r>
          </w:p>
        </w:tc>
      </w:tr>
      <w:tr w:rsidR="002F5C5E" w:rsidRPr="009E2B84" w14:paraId="4552D938" w14:textId="77777777" w:rsidTr="0047741D">
        <w:trPr>
          <w:gridAfter w:val="1"/>
          <w:wAfter w:w="2835" w:type="dxa"/>
          <w:cantSplit/>
          <w:trHeight w:val="560"/>
        </w:trPr>
        <w:tc>
          <w:tcPr>
            <w:tcW w:w="7054" w:type="dxa"/>
            <w:gridSpan w:val="3"/>
            <w:tcBorders>
              <w:left w:val="nil"/>
              <w:right w:val="nil"/>
            </w:tcBorders>
          </w:tcPr>
          <w:p w14:paraId="4552D937" w14:textId="77777777" w:rsidR="002F5C5E" w:rsidRPr="009E2B84" w:rsidRDefault="002F5C5E" w:rsidP="003902A2">
            <w:pPr>
              <w:jc w:val="right"/>
              <w:rPr>
                <w:sz w:val="8"/>
              </w:rPr>
            </w:pPr>
          </w:p>
        </w:tc>
      </w:tr>
      <w:tr w:rsidR="0047741D" w:rsidRPr="009E2B84" w14:paraId="4552D93B" w14:textId="77777777" w:rsidTr="0047741D">
        <w:trPr>
          <w:cantSplit/>
        </w:trPr>
        <w:tc>
          <w:tcPr>
            <w:tcW w:w="6912" w:type="dxa"/>
            <w:gridSpan w:val="2"/>
            <w:shd w:val="clear" w:color="auto" w:fill="BFBFBF"/>
            <w:vAlign w:val="center"/>
          </w:tcPr>
          <w:p w14:paraId="4552D939"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4552D93A" w14:textId="77777777" w:rsidR="0047741D" w:rsidRPr="009E2B84" w:rsidRDefault="0047741D" w:rsidP="00E2196F">
            <w:pPr>
              <w:jc w:val="center"/>
              <w:rPr>
                <w:b/>
              </w:rPr>
            </w:pPr>
            <w:r>
              <w:rPr>
                <w:b/>
              </w:rPr>
              <w:t>REPORT OF</w:t>
            </w:r>
          </w:p>
        </w:tc>
      </w:tr>
      <w:tr w:rsidR="0047741D" w:rsidRPr="009E2B84" w14:paraId="4552D940" w14:textId="77777777" w:rsidTr="0047741D">
        <w:trPr>
          <w:cantSplit/>
          <w:trHeight w:val="667"/>
        </w:trPr>
        <w:tc>
          <w:tcPr>
            <w:tcW w:w="6912" w:type="dxa"/>
            <w:gridSpan w:val="2"/>
            <w:vAlign w:val="center"/>
          </w:tcPr>
          <w:p w14:paraId="4552D93C" w14:textId="77777777" w:rsidR="0047741D" w:rsidRPr="009E2B84" w:rsidRDefault="0047741D" w:rsidP="00E2196F">
            <w:pPr>
              <w:rPr>
                <w:b/>
              </w:rPr>
            </w:pPr>
          </w:p>
          <w:p w14:paraId="4552D93D" w14:textId="77777777" w:rsidR="0047741D" w:rsidRDefault="00493D1A" w:rsidP="00E2196F">
            <w:pPr>
              <w:jc w:val="center"/>
              <w:rPr>
                <w:b/>
              </w:rPr>
            </w:pPr>
            <w:bookmarkStart w:id="0" w:name="_GoBack"/>
            <w:r w:rsidRPr="00493D1A">
              <w:rPr>
                <w:b/>
              </w:rPr>
              <w:t xml:space="preserve">Joint Procurement Strategy 2015 to 2018 Performance Report &amp;  Proposals for a new 3 year Joint Procurement Strategy </w:t>
            </w:r>
          </w:p>
          <w:bookmarkEnd w:id="0"/>
          <w:p w14:paraId="4552D93E" w14:textId="77777777" w:rsidR="00493D1A" w:rsidRPr="00493D1A" w:rsidRDefault="00493D1A" w:rsidP="00E2196F">
            <w:pPr>
              <w:jc w:val="center"/>
              <w:rPr>
                <w:b/>
              </w:rPr>
            </w:pPr>
          </w:p>
        </w:tc>
        <w:tc>
          <w:tcPr>
            <w:tcW w:w="2977" w:type="dxa"/>
            <w:gridSpan w:val="2"/>
            <w:vAlign w:val="center"/>
          </w:tcPr>
          <w:p w14:paraId="4552D93F" w14:textId="77777777" w:rsidR="0047741D" w:rsidRPr="005E6FBB" w:rsidRDefault="00493D1A" w:rsidP="00493D1A">
            <w:r w:rsidRPr="005E6FBB">
              <w:t xml:space="preserve">Chief Executive CBC &amp; </w:t>
            </w:r>
            <w:r w:rsidR="005E6FBB" w:rsidRPr="005E6FBB">
              <w:t>Deputy Chief Executive – Resources &amp; Transformation (Section 151 Officer)</w:t>
            </w:r>
            <w:r w:rsidR="005E6FBB">
              <w:t xml:space="preserve"> SRBC</w:t>
            </w:r>
          </w:p>
        </w:tc>
      </w:tr>
    </w:tbl>
    <w:p w14:paraId="4552D941" w14:textId="77777777" w:rsidR="002F5C5E" w:rsidRPr="009E2B84" w:rsidRDefault="002F5C5E" w:rsidP="002F5C5E"/>
    <w:p w14:paraId="4552D942"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4552D948" w14:textId="77777777" w:rsidTr="00E2196F">
        <w:tc>
          <w:tcPr>
            <w:tcW w:w="6652" w:type="dxa"/>
            <w:shd w:val="clear" w:color="auto" w:fill="auto"/>
          </w:tcPr>
          <w:p w14:paraId="4552D943" w14:textId="77777777" w:rsidR="0047741D" w:rsidRDefault="0047741D" w:rsidP="00E2196F">
            <w:pPr>
              <w:rPr>
                <w:szCs w:val="22"/>
              </w:rPr>
            </w:pPr>
          </w:p>
          <w:p w14:paraId="4552D944" w14:textId="77777777" w:rsidR="0047741D" w:rsidRPr="009C1143" w:rsidRDefault="0047741D" w:rsidP="00E2196F">
            <w:pPr>
              <w:rPr>
                <w:szCs w:val="22"/>
              </w:rPr>
            </w:pPr>
            <w:r>
              <w:rPr>
                <w:szCs w:val="22"/>
              </w:rPr>
              <w:t>Is this report confidential?</w:t>
            </w:r>
          </w:p>
        </w:tc>
        <w:tc>
          <w:tcPr>
            <w:tcW w:w="3266" w:type="dxa"/>
            <w:shd w:val="clear" w:color="auto" w:fill="auto"/>
          </w:tcPr>
          <w:p w14:paraId="4552D945" w14:textId="77777777" w:rsidR="00E63940" w:rsidRDefault="00E63940" w:rsidP="00E63940">
            <w:pPr>
              <w:rPr>
                <w:b/>
                <w:szCs w:val="22"/>
              </w:rPr>
            </w:pPr>
          </w:p>
          <w:p w14:paraId="4552D946" w14:textId="77777777" w:rsidR="0047741D" w:rsidRPr="00F3057A" w:rsidRDefault="0047741D" w:rsidP="00E2196F">
            <w:pPr>
              <w:rPr>
                <w:b/>
                <w:szCs w:val="22"/>
              </w:rPr>
            </w:pPr>
            <w:r w:rsidRPr="00F3057A">
              <w:rPr>
                <w:b/>
                <w:szCs w:val="22"/>
              </w:rPr>
              <w:t xml:space="preserve">No </w:t>
            </w:r>
          </w:p>
          <w:p w14:paraId="4552D947" w14:textId="77777777" w:rsidR="0047741D" w:rsidRPr="009C1143" w:rsidRDefault="0047741D" w:rsidP="00493D1A">
            <w:pPr>
              <w:rPr>
                <w:szCs w:val="22"/>
              </w:rPr>
            </w:pPr>
          </w:p>
        </w:tc>
      </w:tr>
    </w:tbl>
    <w:p w14:paraId="4552D949" w14:textId="77777777" w:rsidR="0047741D" w:rsidRDefault="0047741D" w:rsidP="002F5C5E">
      <w:pPr>
        <w:rPr>
          <w:sz w:val="16"/>
          <w:szCs w:val="16"/>
        </w:rPr>
      </w:pPr>
    </w:p>
    <w:p w14:paraId="4552D94A" w14:textId="77777777" w:rsidR="00EB2D32" w:rsidRPr="009C1143" w:rsidRDefault="00EB2D32" w:rsidP="00B71A04">
      <w:pPr>
        <w:tabs>
          <w:tab w:val="left" w:pos="567"/>
        </w:tabs>
        <w:ind w:left="567" w:hanging="567"/>
        <w:rPr>
          <w:sz w:val="16"/>
          <w:szCs w:val="16"/>
        </w:rPr>
      </w:pPr>
    </w:p>
    <w:p w14:paraId="4552D94B" w14:textId="77777777" w:rsidR="000B5251" w:rsidRDefault="002F5C5E" w:rsidP="007F277A">
      <w:pPr>
        <w:keepNext/>
        <w:numPr>
          <w:ilvl w:val="0"/>
          <w:numId w:val="8"/>
        </w:numPr>
        <w:tabs>
          <w:tab w:val="left" w:pos="567"/>
        </w:tabs>
        <w:ind w:left="567" w:hanging="567"/>
        <w:outlineLvl w:val="0"/>
        <w:rPr>
          <w:b/>
          <w:szCs w:val="22"/>
        </w:rPr>
      </w:pPr>
      <w:r w:rsidRPr="009C1143">
        <w:rPr>
          <w:b/>
          <w:szCs w:val="22"/>
        </w:rPr>
        <w:t xml:space="preserve">PURPOSE OF THE REPORT  </w:t>
      </w:r>
    </w:p>
    <w:p w14:paraId="4552D94C" w14:textId="77777777" w:rsidR="007F277A" w:rsidRPr="007F277A" w:rsidRDefault="007F277A" w:rsidP="007F277A">
      <w:pPr>
        <w:keepNext/>
        <w:tabs>
          <w:tab w:val="left" w:pos="567"/>
        </w:tabs>
        <w:ind w:left="567"/>
        <w:outlineLvl w:val="0"/>
        <w:rPr>
          <w:b/>
          <w:szCs w:val="22"/>
        </w:rPr>
      </w:pPr>
    </w:p>
    <w:p w14:paraId="4552D94D" w14:textId="77777777" w:rsidR="002F5C5E" w:rsidRPr="00493D1A" w:rsidRDefault="00493D1A" w:rsidP="00493D1A">
      <w:pPr>
        <w:ind w:left="567"/>
        <w:jc w:val="both"/>
        <w:rPr>
          <w:szCs w:val="22"/>
        </w:rPr>
      </w:pPr>
      <w:r w:rsidRPr="00493D1A">
        <w:rPr>
          <w:szCs w:val="22"/>
        </w:rPr>
        <w:t xml:space="preserve">This report sets out the performance achieved against the 2015 -2018  Chorley Borough and South Ribble Borough Councils Joint Procurement Strategy (JPS) and includes recommendations for a new refreshed 3 year JPS commencing 1.4.19 for members comment and discussion.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552D94E" w14:textId="77777777" w:rsidR="002F5C5E" w:rsidRPr="009C1143" w:rsidRDefault="002F5C5E" w:rsidP="00493D1A">
      <w:pPr>
        <w:tabs>
          <w:tab w:val="left" w:pos="567"/>
        </w:tabs>
        <w:rPr>
          <w:szCs w:val="22"/>
        </w:rPr>
      </w:pPr>
    </w:p>
    <w:p w14:paraId="4552D94F" w14:textId="77777777" w:rsidR="00B71A04" w:rsidRDefault="002F5C5E" w:rsidP="00B71A04">
      <w:pPr>
        <w:keepNext/>
        <w:numPr>
          <w:ilvl w:val="0"/>
          <w:numId w:val="8"/>
        </w:numPr>
        <w:tabs>
          <w:tab w:val="left" w:pos="567"/>
        </w:tabs>
        <w:ind w:left="567" w:hanging="567"/>
        <w:outlineLvl w:val="0"/>
        <w:rPr>
          <w:b/>
          <w:szCs w:val="22"/>
        </w:rPr>
      </w:pPr>
      <w:r w:rsidRPr="009C1143">
        <w:rPr>
          <w:b/>
          <w:szCs w:val="22"/>
        </w:rPr>
        <w:t>RECOMMENDATIONS</w:t>
      </w:r>
    </w:p>
    <w:p w14:paraId="4552D950" w14:textId="77777777" w:rsidR="00B71A04" w:rsidRDefault="00B71A04" w:rsidP="00B71A04">
      <w:pPr>
        <w:keepNext/>
        <w:tabs>
          <w:tab w:val="left" w:pos="567"/>
        </w:tabs>
        <w:ind w:left="567"/>
        <w:outlineLvl w:val="0"/>
        <w:rPr>
          <w:b/>
          <w:szCs w:val="22"/>
        </w:rPr>
      </w:pPr>
    </w:p>
    <w:p w14:paraId="4552D951" w14:textId="77777777" w:rsidR="00493D1A" w:rsidRPr="00493D1A" w:rsidRDefault="00493D1A" w:rsidP="00493D1A">
      <w:pPr>
        <w:tabs>
          <w:tab w:val="left" w:pos="567"/>
        </w:tabs>
        <w:ind w:left="567" w:hanging="567"/>
        <w:rPr>
          <w:szCs w:val="22"/>
        </w:rPr>
      </w:pPr>
      <w:r>
        <w:rPr>
          <w:szCs w:val="22"/>
        </w:rPr>
        <w:t>2.1</w:t>
      </w:r>
      <w:r>
        <w:rPr>
          <w:szCs w:val="22"/>
        </w:rPr>
        <w:tab/>
        <w:t xml:space="preserve">that </w:t>
      </w:r>
      <w:r w:rsidRPr="00493D1A">
        <w:rPr>
          <w:szCs w:val="22"/>
        </w:rPr>
        <w:t>the contents of this performance report are noted</w:t>
      </w:r>
    </w:p>
    <w:p w14:paraId="4552D952" w14:textId="77777777" w:rsidR="00493D1A" w:rsidRPr="00493D1A" w:rsidRDefault="00493D1A" w:rsidP="00493D1A">
      <w:pPr>
        <w:tabs>
          <w:tab w:val="left" w:pos="567"/>
        </w:tabs>
        <w:ind w:left="567" w:hanging="567"/>
        <w:rPr>
          <w:szCs w:val="22"/>
        </w:rPr>
      </w:pPr>
    </w:p>
    <w:p w14:paraId="4552D953" w14:textId="77777777" w:rsidR="00493D1A" w:rsidRPr="00493D1A" w:rsidRDefault="00493D1A" w:rsidP="00493D1A">
      <w:pPr>
        <w:tabs>
          <w:tab w:val="left" w:pos="567"/>
        </w:tabs>
        <w:ind w:left="567" w:hanging="567"/>
        <w:rPr>
          <w:szCs w:val="22"/>
        </w:rPr>
      </w:pPr>
      <w:r w:rsidRPr="00493D1A">
        <w:rPr>
          <w:szCs w:val="22"/>
        </w:rPr>
        <w:t xml:space="preserve">2.2 </w:t>
      </w:r>
      <w:r w:rsidRPr="00493D1A">
        <w:rPr>
          <w:szCs w:val="22"/>
        </w:rPr>
        <w:tab/>
        <w:t>that members note and comment on the new proposed refreshed JPS and agree that this be taken forward at both authorities initially through SMT/ LT, prior to submission for formal approval at each authority’s Executive Cabinet.  It should be noted that consultation at SMT/LT may result in some subsequent minor changes moving forward.</w:t>
      </w:r>
    </w:p>
    <w:p w14:paraId="4552D954" w14:textId="77777777" w:rsidR="002F5C5E" w:rsidRPr="009C1143" w:rsidRDefault="002F5C5E" w:rsidP="00B71A04">
      <w:pPr>
        <w:tabs>
          <w:tab w:val="left" w:pos="567"/>
        </w:tabs>
        <w:ind w:left="567" w:hanging="567"/>
        <w:rPr>
          <w:i/>
          <w:color w:val="2E74B5"/>
          <w:szCs w:val="22"/>
        </w:rPr>
      </w:pPr>
    </w:p>
    <w:p w14:paraId="4552D955" w14:textId="77777777" w:rsidR="002F5C5E" w:rsidRDefault="002F5C5E" w:rsidP="00B71A04">
      <w:pPr>
        <w:keepNext/>
        <w:numPr>
          <w:ilvl w:val="0"/>
          <w:numId w:val="8"/>
        </w:numPr>
        <w:tabs>
          <w:tab w:val="left" w:pos="567"/>
        </w:tabs>
        <w:ind w:left="567" w:hanging="567"/>
        <w:outlineLvl w:val="0"/>
        <w:rPr>
          <w:b/>
          <w:szCs w:val="22"/>
        </w:rPr>
      </w:pPr>
      <w:r w:rsidRPr="009C1143">
        <w:rPr>
          <w:b/>
          <w:szCs w:val="22"/>
        </w:rPr>
        <w:t>CORPORATE PRIORITIES</w:t>
      </w:r>
    </w:p>
    <w:p w14:paraId="4552D956" w14:textId="77777777" w:rsidR="00772B9C" w:rsidRDefault="00772B9C" w:rsidP="00B71A04">
      <w:pPr>
        <w:keepNext/>
        <w:tabs>
          <w:tab w:val="left" w:pos="567"/>
        </w:tabs>
        <w:ind w:left="567" w:hanging="567"/>
        <w:outlineLvl w:val="0"/>
        <w:rPr>
          <w:b/>
          <w:szCs w:val="22"/>
        </w:rPr>
      </w:pPr>
    </w:p>
    <w:p w14:paraId="4552D957" w14:textId="77777777" w:rsidR="00772B9C" w:rsidRPr="00772B9C" w:rsidRDefault="00772B9C" w:rsidP="00B71A04">
      <w:pPr>
        <w:keepNext/>
        <w:tabs>
          <w:tab w:val="left" w:pos="567"/>
        </w:tabs>
        <w:ind w:left="567" w:hanging="567"/>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14:paraId="4552D958" w14:textId="77777777"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14:paraId="4552D95C" w14:textId="77777777" w:rsidTr="000E4458">
        <w:tc>
          <w:tcPr>
            <w:tcW w:w="4423" w:type="dxa"/>
            <w:shd w:val="clear" w:color="auto" w:fill="auto"/>
          </w:tcPr>
          <w:p w14:paraId="4552D959" w14:textId="77777777" w:rsidR="00772B9C" w:rsidRPr="000828CC" w:rsidRDefault="00772B9C" w:rsidP="000E4458">
            <w:pPr>
              <w:rPr>
                <w:szCs w:val="22"/>
              </w:rPr>
            </w:pPr>
            <w:r w:rsidRPr="000828CC">
              <w:rPr>
                <w:szCs w:val="22"/>
              </w:rPr>
              <w:t>Excellence and Financial Sustainability</w:t>
            </w:r>
          </w:p>
          <w:p w14:paraId="4552D95A" w14:textId="77777777" w:rsidR="00772B9C" w:rsidRPr="000828CC" w:rsidRDefault="00772B9C" w:rsidP="000E4458">
            <w:pPr>
              <w:rPr>
                <w:szCs w:val="22"/>
              </w:rPr>
            </w:pPr>
          </w:p>
        </w:tc>
        <w:tc>
          <w:tcPr>
            <w:tcW w:w="850" w:type="dxa"/>
            <w:shd w:val="clear" w:color="auto" w:fill="auto"/>
          </w:tcPr>
          <w:p w14:paraId="4552D95B" w14:textId="77777777" w:rsidR="00772B9C" w:rsidRPr="00491DF0" w:rsidRDefault="00493D1A" w:rsidP="000E4458">
            <w:pPr>
              <w:rPr>
                <w:szCs w:val="22"/>
              </w:rPr>
            </w:pPr>
            <w:r w:rsidRPr="00491DF0">
              <w:rPr>
                <w:szCs w:val="22"/>
              </w:rPr>
              <w:t>x</w:t>
            </w:r>
          </w:p>
        </w:tc>
      </w:tr>
      <w:tr w:rsidR="00772B9C" w:rsidRPr="008770BE" w14:paraId="4552D960" w14:textId="77777777" w:rsidTr="000E4458">
        <w:tc>
          <w:tcPr>
            <w:tcW w:w="4423" w:type="dxa"/>
            <w:shd w:val="clear" w:color="auto" w:fill="auto"/>
          </w:tcPr>
          <w:p w14:paraId="4552D95D" w14:textId="77777777" w:rsidR="00772B9C" w:rsidRPr="000828CC" w:rsidRDefault="00772B9C" w:rsidP="000E4458">
            <w:pPr>
              <w:rPr>
                <w:szCs w:val="22"/>
              </w:rPr>
            </w:pPr>
            <w:r w:rsidRPr="000828CC">
              <w:rPr>
                <w:szCs w:val="22"/>
              </w:rPr>
              <w:t>Health and Wellbeing</w:t>
            </w:r>
          </w:p>
          <w:p w14:paraId="4552D95E" w14:textId="77777777" w:rsidR="00772B9C" w:rsidRPr="000828CC" w:rsidRDefault="00772B9C" w:rsidP="000E4458">
            <w:pPr>
              <w:rPr>
                <w:szCs w:val="22"/>
              </w:rPr>
            </w:pPr>
          </w:p>
        </w:tc>
        <w:tc>
          <w:tcPr>
            <w:tcW w:w="850" w:type="dxa"/>
            <w:shd w:val="clear" w:color="auto" w:fill="auto"/>
          </w:tcPr>
          <w:p w14:paraId="4552D95F" w14:textId="77777777" w:rsidR="00772B9C" w:rsidRPr="00491DF0" w:rsidRDefault="00493D1A" w:rsidP="000E4458">
            <w:pPr>
              <w:rPr>
                <w:szCs w:val="22"/>
              </w:rPr>
            </w:pPr>
            <w:r w:rsidRPr="00491DF0">
              <w:rPr>
                <w:szCs w:val="22"/>
              </w:rPr>
              <w:t>x</w:t>
            </w:r>
          </w:p>
        </w:tc>
      </w:tr>
      <w:tr w:rsidR="00772B9C" w:rsidRPr="009C1143" w14:paraId="4552D964" w14:textId="77777777" w:rsidTr="000E4458">
        <w:tc>
          <w:tcPr>
            <w:tcW w:w="4423" w:type="dxa"/>
            <w:shd w:val="clear" w:color="auto" w:fill="auto"/>
          </w:tcPr>
          <w:p w14:paraId="4552D961" w14:textId="77777777" w:rsidR="00772B9C" w:rsidRPr="000828CC" w:rsidRDefault="00772B9C" w:rsidP="000E4458">
            <w:pPr>
              <w:rPr>
                <w:szCs w:val="22"/>
              </w:rPr>
            </w:pPr>
            <w:r w:rsidRPr="000828CC">
              <w:rPr>
                <w:szCs w:val="22"/>
              </w:rPr>
              <w:t>Place</w:t>
            </w:r>
          </w:p>
          <w:p w14:paraId="4552D962" w14:textId="77777777" w:rsidR="00772B9C" w:rsidRPr="000828CC" w:rsidRDefault="00772B9C" w:rsidP="000E4458">
            <w:pPr>
              <w:rPr>
                <w:szCs w:val="22"/>
              </w:rPr>
            </w:pPr>
          </w:p>
        </w:tc>
        <w:tc>
          <w:tcPr>
            <w:tcW w:w="850" w:type="dxa"/>
            <w:shd w:val="clear" w:color="auto" w:fill="auto"/>
          </w:tcPr>
          <w:p w14:paraId="4552D963" w14:textId="77777777" w:rsidR="00772B9C" w:rsidRPr="009C1143" w:rsidRDefault="00493D1A" w:rsidP="000E4458">
            <w:pPr>
              <w:rPr>
                <w:szCs w:val="22"/>
              </w:rPr>
            </w:pPr>
            <w:r>
              <w:rPr>
                <w:szCs w:val="22"/>
              </w:rPr>
              <w:t>x</w:t>
            </w:r>
          </w:p>
        </w:tc>
      </w:tr>
    </w:tbl>
    <w:p w14:paraId="4552D965" w14:textId="77777777" w:rsidR="00772B9C" w:rsidRDefault="00772B9C" w:rsidP="00772B9C"/>
    <w:p w14:paraId="4552D966" w14:textId="77777777" w:rsidR="00772B9C" w:rsidRDefault="00772B9C" w:rsidP="00772B9C">
      <w:pPr>
        <w:ind w:firstLine="720"/>
      </w:pPr>
      <w:r>
        <w:t>Projects relating to People in the Corporate Plan:</w:t>
      </w:r>
    </w:p>
    <w:p w14:paraId="4552D967" w14:textId="77777777"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14:paraId="4552D96B" w14:textId="77777777" w:rsidTr="000E4458">
        <w:tc>
          <w:tcPr>
            <w:tcW w:w="4423" w:type="dxa"/>
            <w:shd w:val="clear" w:color="auto" w:fill="auto"/>
          </w:tcPr>
          <w:p w14:paraId="4552D968" w14:textId="77777777" w:rsidR="00772B9C" w:rsidRDefault="00772B9C" w:rsidP="000E4458">
            <w:pPr>
              <w:rPr>
                <w:szCs w:val="22"/>
              </w:rPr>
            </w:pPr>
            <w:r>
              <w:rPr>
                <w:szCs w:val="22"/>
              </w:rPr>
              <w:t xml:space="preserve">People </w:t>
            </w:r>
          </w:p>
          <w:p w14:paraId="4552D969" w14:textId="77777777" w:rsidR="00772B9C" w:rsidRPr="000828CC" w:rsidRDefault="00772B9C" w:rsidP="000E4458">
            <w:pPr>
              <w:rPr>
                <w:szCs w:val="22"/>
              </w:rPr>
            </w:pPr>
          </w:p>
        </w:tc>
        <w:tc>
          <w:tcPr>
            <w:tcW w:w="850" w:type="dxa"/>
            <w:shd w:val="clear" w:color="auto" w:fill="auto"/>
          </w:tcPr>
          <w:p w14:paraId="4552D96A" w14:textId="77777777" w:rsidR="00772B9C" w:rsidRPr="009C1143" w:rsidRDefault="00772B9C" w:rsidP="000E4458">
            <w:pPr>
              <w:rPr>
                <w:szCs w:val="22"/>
              </w:rPr>
            </w:pPr>
          </w:p>
        </w:tc>
      </w:tr>
    </w:tbl>
    <w:p w14:paraId="4552D96C" w14:textId="77777777" w:rsidR="00555406" w:rsidRDefault="00555406" w:rsidP="009620D2">
      <w:pPr>
        <w:ind w:left="567"/>
        <w:rPr>
          <w:szCs w:val="22"/>
        </w:rPr>
      </w:pPr>
    </w:p>
    <w:p w14:paraId="4552D96D" w14:textId="77777777" w:rsidR="002F5C5E" w:rsidRPr="00493D1A" w:rsidRDefault="00493D1A" w:rsidP="009620D2">
      <w:pPr>
        <w:ind w:left="567"/>
        <w:rPr>
          <w:szCs w:val="22"/>
        </w:rPr>
      </w:pPr>
      <w:r w:rsidRPr="00493D1A">
        <w:rPr>
          <w:szCs w:val="22"/>
        </w:rPr>
        <w:t>Delivery of the JPS has clear links to delivery of the corporate priorities at both Councils and these are clearly shown on the proposed refreshed JPS included at Appendix 3</w:t>
      </w:r>
    </w:p>
    <w:p w14:paraId="4552D96E" w14:textId="77777777" w:rsidR="00772B9C" w:rsidRDefault="00772B9C" w:rsidP="002F5C5E">
      <w:pPr>
        <w:rPr>
          <w:szCs w:val="22"/>
        </w:rPr>
      </w:pPr>
    </w:p>
    <w:p w14:paraId="4552D96F" w14:textId="77777777" w:rsidR="007F277A" w:rsidRDefault="007F277A" w:rsidP="002F5C5E">
      <w:pPr>
        <w:rPr>
          <w:szCs w:val="22"/>
        </w:rPr>
      </w:pPr>
    </w:p>
    <w:p w14:paraId="4552D970" w14:textId="77777777" w:rsidR="007F277A" w:rsidRPr="009C1143" w:rsidRDefault="007F277A" w:rsidP="002F5C5E">
      <w:pPr>
        <w:rPr>
          <w:szCs w:val="22"/>
        </w:rPr>
      </w:pPr>
    </w:p>
    <w:p w14:paraId="4552D971" w14:textId="77777777" w:rsidR="007F277A" w:rsidRDefault="005E6FBB" w:rsidP="007F277A">
      <w:pPr>
        <w:tabs>
          <w:tab w:val="left" w:pos="567"/>
        </w:tabs>
        <w:ind w:left="567" w:hanging="567"/>
        <w:rPr>
          <w:b/>
          <w:szCs w:val="22"/>
        </w:rPr>
      </w:pPr>
      <w:r>
        <w:rPr>
          <w:b/>
          <w:szCs w:val="22"/>
        </w:rPr>
        <w:lastRenderedPageBreak/>
        <w:t>4</w:t>
      </w:r>
      <w:r w:rsidR="00B71A04">
        <w:rPr>
          <w:b/>
          <w:szCs w:val="22"/>
        </w:rPr>
        <w:t xml:space="preserve">. </w:t>
      </w:r>
      <w:r w:rsidR="00B71A04">
        <w:rPr>
          <w:b/>
          <w:szCs w:val="22"/>
        </w:rPr>
        <w:tab/>
      </w:r>
      <w:r w:rsidR="002F5C5E" w:rsidRPr="009C1143">
        <w:rPr>
          <w:b/>
          <w:szCs w:val="22"/>
        </w:rPr>
        <w:t>BACKGROUND TO THE REPORT</w:t>
      </w:r>
    </w:p>
    <w:p w14:paraId="4552D972" w14:textId="77777777" w:rsidR="007F277A" w:rsidRDefault="007F277A" w:rsidP="007F277A">
      <w:pPr>
        <w:tabs>
          <w:tab w:val="left" w:pos="567"/>
        </w:tabs>
        <w:ind w:left="567" w:hanging="567"/>
        <w:rPr>
          <w:b/>
          <w:szCs w:val="22"/>
        </w:rPr>
      </w:pPr>
    </w:p>
    <w:p w14:paraId="4552D973" w14:textId="77777777" w:rsidR="00493D1A" w:rsidRPr="00493D1A" w:rsidRDefault="007F277A" w:rsidP="007F277A">
      <w:pPr>
        <w:tabs>
          <w:tab w:val="left" w:pos="567"/>
        </w:tabs>
        <w:ind w:left="567" w:hanging="567"/>
        <w:rPr>
          <w:b/>
          <w:szCs w:val="22"/>
        </w:rPr>
      </w:pPr>
      <w:r>
        <w:rPr>
          <w:b/>
          <w:szCs w:val="22"/>
        </w:rPr>
        <w:t>4.1</w:t>
      </w:r>
      <w:r>
        <w:rPr>
          <w:b/>
          <w:szCs w:val="22"/>
        </w:rPr>
        <w:tab/>
      </w:r>
      <w:r w:rsidR="00493D1A" w:rsidRPr="00493D1A">
        <w:rPr>
          <w:rFonts w:eastAsia="Calibri" w:cs="Arial"/>
          <w:szCs w:val="22"/>
          <w:lang w:eastAsia="en-US"/>
        </w:rPr>
        <w:t>Chorley and South Ribble Borough Councils have operated a shared procurement service as part of a wider financial and shared assurance service since January 2009. A joint procurement strategy was implemented later that same year.</w:t>
      </w:r>
    </w:p>
    <w:p w14:paraId="4552D974" w14:textId="77777777" w:rsidR="00493D1A" w:rsidRPr="00493D1A" w:rsidRDefault="00493D1A" w:rsidP="00493D1A">
      <w:pPr>
        <w:rPr>
          <w:rFonts w:eastAsia="Calibri" w:cs="Arial"/>
          <w:szCs w:val="22"/>
          <w:lang w:eastAsia="en-US"/>
        </w:rPr>
      </w:pPr>
    </w:p>
    <w:p w14:paraId="4552D975" w14:textId="77777777" w:rsidR="00493D1A" w:rsidRPr="00493D1A" w:rsidRDefault="00493D1A" w:rsidP="00493D1A">
      <w:pPr>
        <w:ind w:left="567"/>
        <w:rPr>
          <w:rFonts w:eastAsia="Calibri" w:cs="Arial"/>
          <w:szCs w:val="22"/>
          <w:lang w:eastAsia="en-US"/>
        </w:rPr>
      </w:pPr>
      <w:r w:rsidRPr="00493D1A">
        <w:rPr>
          <w:rFonts w:eastAsia="Calibri" w:cs="Arial"/>
          <w:szCs w:val="22"/>
          <w:lang w:eastAsia="en-US"/>
        </w:rPr>
        <w:t>The 2015 to 2018 JPS has now expired.  Recommendations for a revised Strategy moving forward have been delayed pending publication of the new draft 2018 National Procurement Strategy and also to provide for, senior management and structure changes, in order to ensure effective consultation and buy-in to any new proposals moving forward.</w:t>
      </w:r>
    </w:p>
    <w:p w14:paraId="4552D976" w14:textId="77777777" w:rsidR="00493D1A" w:rsidRPr="00493D1A" w:rsidRDefault="00493D1A" w:rsidP="00493D1A">
      <w:pPr>
        <w:rPr>
          <w:rFonts w:eastAsia="Calibri" w:cs="Arial"/>
          <w:szCs w:val="22"/>
          <w:lang w:eastAsia="en-US"/>
        </w:rPr>
      </w:pPr>
    </w:p>
    <w:p w14:paraId="4552D977" w14:textId="77777777" w:rsidR="00493D1A" w:rsidRDefault="00493D1A" w:rsidP="00555406">
      <w:pPr>
        <w:tabs>
          <w:tab w:val="left" w:pos="567"/>
        </w:tabs>
        <w:ind w:left="567" w:hanging="567"/>
        <w:rPr>
          <w:rFonts w:eastAsia="Calibri" w:cs="Arial"/>
          <w:szCs w:val="22"/>
          <w:lang w:eastAsia="en-US"/>
        </w:rPr>
      </w:pPr>
      <w:r w:rsidRPr="00493D1A">
        <w:rPr>
          <w:rFonts w:eastAsia="Calibri" w:cs="Arial"/>
          <w:szCs w:val="22"/>
          <w:lang w:eastAsia="en-US"/>
        </w:rPr>
        <w:tab/>
        <w:t>The expired 2015/2018 JPS includes objectives and actions based on four Joint Procurement Priorities linked to the 2014 National Procurement Strategy (NPS) themes as listed below</w:t>
      </w:r>
    </w:p>
    <w:p w14:paraId="4552D978" w14:textId="77777777" w:rsidR="00493D1A" w:rsidRPr="00493D1A" w:rsidRDefault="00493D1A" w:rsidP="00493D1A">
      <w:pPr>
        <w:tabs>
          <w:tab w:val="left" w:pos="567"/>
        </w:tabs>
        <w:ind w:left="567" w:hanging="567"/>
        <w:rPr>
          <w:rFonts w:eastAsia="Calibri" w:cs="Arial"/>
          <w:szCs w:val="22"/>
          <w:lang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493D1A" w14:paraId="4552D97B" w14:textId="77777777" w:rsidTr="00A00A02">
        <w:tc>
          <w:tcPr>
            <w:tcW w:w="6804" w:type="dxa"/>
            <w:tcBorders>
              <w:top w:val="single" w:sz="4" w:space="0" w:color="auto"/>
              <w:left w:val="single" w:sz="4" w:space="0" w:color="auto"/>
              <w:bottom w:val="single" w:sz="4" w:space="0" w:color="auto"/>
              <w:right w:val="single" w:sz="4" w:space="0" w:color="auto"/>
            </w:tcBorders>
            <w:hideMark/>
          </w:tcPr>
          <w:p w14:paraId="4552D979" w14:textId="77777777" w:rsidR="00493D1A" w:rsidRDefault="00493D1A" w:rsidP="00217675">
            <w:pPr>
              <w:rPr>
                <w:rFonts w:eastAsia="Calibri" w:cs="Arial"/>
                <w:szCs w:val="22"/>
                <w:lang w:eastAsia="en-US"/>
              </w:rPr>
            </w:pPr>
            <w:r>
              <w:rPr>
                <w:rFonts w:eastAsia="Calibri" w:cs="Arial"/>
                <w:b/>
                <w:szCs w:val="22"/>
                <w:lang w:eastAsia="en-US"/>
              </w:rPr>
              <w:t>Joint Procurement Priority</w:t>
            </w:r>
          </w:p>
        </w:tc>
        <w:tc>
          <w:tcPr>
            <w:tcW w:w="2268" w:type="dxa"/>
            <w:tcBorders>
              <w:top w:val="single" w:sz="4" w:space="0" w:color="auto"/>
              <w:left w:val="single" w:sz="4" w:space="0" w:color="auto"/>
              <w:bottom w:val="single" w:sz="4" w:space="0" w:color="auto"/>
              <w:right w:val="single" w:sz="4" w:space="0" w:color="auto"/>
            </w:tcBorders>
            <w:hideMark/>
          </w:tcPr>
          <w:p w14:paraId="4552D97A" w14:textId="77777777" w:rsidR="00493D1A" w:rsidRDefault="00493D1A" w:rsidP="00217675">
            <w:pPr>
              <w:rPr>
                <w:rFonts w:eastAsia="Calibri" w:cs="Arial"/>
                <w:b/>
                <w:szCs w:val="22"/>
                <w:lang w:eastAsia="en-US"/>
              </w:rPr>
            </w:pPr>
            <w:r>
              <w:rPr>
                <w:rFonts w:eastAsia="Calibri" w:cs="Arial"/>
                <w:b/>
                <w:szCs w:val="22"/>
                <w:lang w:eastAsia="en-US"/>
              </w:rPr>
              <w:t>2014 NPS Theme</w:t>
            </w:r>
          </w:p>
        </w:tc>
      </w:tr>
      <w:tr w:rsidR="00493D1A" w14:paraId="4552D97E" w14:textId="77777777" w:rsidTr="00A00A02">
        <w:tc>
          <w:tcPr>
            <w:tcW w:w="6804" w:type="dxa"/>
            <w:tcBorders>
              <w:top w:val="single" w:sz="4" w:space="0" w:color="auto"/>
              <w:left w:val="single" w:sz="4" w:space="0" w:color="auto"/>
              <w:bottom w:val="single" w:sz="4" w:space="0" w:color="auto"/>
              <w:right w:val="single" w:sz="4" w:space="0" w:color="auto"/>
            </w:tcBorders>
            <w:hideMark/>
          </w:tcPr>
          <w:p w14:paraId="4552D97C" w14:textId="77777777" w:rsidR="00493D1A" w:rsidRDefault="00493D1A" w:rsidP="00217675">
            <w:pPr>
              <w:rPr>
                <w:rFonts w:eastAsia="Calibri" w:cs="Arial"/>
                <w:szCs w:val="22"/>
                <w:lang w:eastAsia="en-US"/>
              </w:rPr>
            </w:pPr>
            <w:r>
              <w:rPr>
                <w:rFonts w:eastAsia="Calibri" w:cs="Arial"/>
                <w:szCs w:val="22"/>
                <w:lang w:eastAsia="en-US"/>
              </w:rPr>
              <w:t>Procurement that is effectively managed and monitored complying with relevant rules both internal and external</w:t>
            </w:r>
          </w:p>
        </w:tc>
        <w:tc>
          <w:tcPr>
            <w:tcW w:w="2268" w:type="dxa"/>
            <w:tcBorders>
              <w:top w:val="single" w:sz="4" w:space="0" w:color="auto"/>
              <w:left w:val="single" w:sz="4" w:space="0" w:color="auto"/>
              <w:bottom w:val="single" w:sz="4" w:space="0" w:color="auto"/>
              <w:right w:val="single" w:sz="4" w:space="0" w:color="auto"/>
            </w:tcBorders>
            <w:hideMark/>
          </w:tcPr>
          <w:p w14:paraId="4552D97D" w14:textId="77777777" w:rsidR="00493D1A" w:rsidRDefault="00493D1A" w:rsidP="00217675">
            <w:pPr>
              <w:rPr>
                <w:rFonts w:eastAsia="Calibri" w:cs="Arial"/>
                <w:szCs w:val="22"/>
                <w:lang w:eastAsia="en-US"/>
              </w:rPr>
            </w:pPr>
            <w:r>
              <w:rPr>
                <w:rFonts w:eastAsia="Calibri" w:cs="Arial"/>
                <w:szCs w:val="22"/>
                <w:lang w:eastAsia="en-US"/>
              </w:rPr>
              <w:t>Leadership</w:t>
            </w:r>
          </w:p>
        </w:tc>
      </w:tr>
      <w:tr w:rsidR="00493D1A" w14:paraId="4552D982" w14:textId="77777777" w:rsidTr="00A00A02">
        <w:tc>
          <w:tcPr>
            <w:tcW w:w="6804" w:type="dxa"/>
            <w:tcBorders>
              <w:top w:val="single" w:sz="4" w:space="0" w:color="auto"/>
              <w:left w:val="single" w:sz="4" w:space="0" w:color="auto"/>
              <w:bottom w:val="single" w:sz="4" w:space="0" w:color="auto"/>
              <w:right w:val="single" w:sz="4" w:space="0" w:color="auto"/>
            </w:tcBorders>
          </w:tcPr>
          <w:p w14:paraId="4552D97F" w14:textId="77777777" w:rsidR="00493D1A" w:rsidRDefault="00493D1A" w:rsidP="00217675">
            <w:pPr>
              <w:rPr>
                <w:rFonts w:eastAsia="Calibri" w:cs="Arial"/>
                <w:szCs w:val="22"/>
                <w:lang w:eastAsia="en-US"/>
              </w:rPr>
            </w:pPr>
            <w:r>
              <w:rPr>
                <w:rFonts w:eastAsia="Calibri" w:cs="Arial"/>
                <w:szCs w:val="22"/>
                <w:lang w:eastAsia="en-US"/>
              </w:rPr>
              <w:t xml:space="preserve">Procurement that engages all buyers/commissioners, is market aware and delivers sustained competitiveness and value for money </w:t>
            </w:r>
          </w:p>
          <w:p w14:paraId="4552D980" w14:textId="77777777" w:rsidR="00493D1A" w:rsidRDefault="00493D1A" w:rsidP="00217675">
            <w:pPr>
              <w:rPr>
                <w:rFonts w:eastAsia="Calibri"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4552D981" w14:textId="77777777" w:rsidR="00493D1A" w:rsidRDefault="00493D1A" w:rsidP="00217675">
            <w:pPr>
              <w:rPr>
                <w:rFonts w:eastAsia="Calibri" w:cs="Arial"/>
                <w:szCs w:val="22"/>
                <w:lang w:eastAsia="en-US"/>
              </w:rPr>
            </w:pPr>
            <w:r>
              <w:rPr>
                <w:rFonts w:eastAsia="Calibri" w:cs="Arial"/>
                <w:szCs w:val="22"/>
                <w:lang w:eastAsia="en-US"/>
              </w:rPr>
              <w:t>Making Savings</w:t>
            </w:r>
          </w:p>
        </w:tc>
      </w:tr>
      <w:tr w:rsidR="00493D1A" w14:paraId="4552D985" w14:textId="77777777" w:rsidTr="00A00A02">
        <w:tc>
          <w:tcPr>
            <w:tcW w:w="6804" w:type="dxa"/>
            <w:tcBorders>
              <w:top w:val="single" w:sz="4" w:space="0" w:color="auto"/>
              <w:left w:val="single" w:sz="4" w:space="0" w:color="auto"/>
              <w:bottom w:val="single" w:sz="4" w:space="0" w:color="auto"/>
              <w:right w:val="single" w:sz="4" w:space="0" w:color="auto"/>
            </w:tcBorders>
            <w:hideMark/>
          </w:tcPr>
          <w:p w14:paraId="4552D983" w14:textId="77777777" w:rsidR="00493D1A" w:rsidRDefault="00493D1A" w:rsidP="00217675">
            <w:pPr>
              <w:rPr>
                <w:rFonts w:eastAsia="Calibri" w:cs="Arial"/>
                <w:szCs w:val="22"/>
                <w:lang w:eastAsia="en-US"/>
              </w:rPr>
            </w:pPr>
            <w:r>
              <w:rPr>
                <w:rFonts w:eastAsia="Calibri" w:cs="Arial"/>
                <w:szCs w:val="22"/>
                <w:lang w:eastAsia="en-US"/>
              </w:rPr>
              <w:t>Procurement that is inclusive, sustainable and socially responsible</w:t>
            </w:r>
          </w:p>
        </w:tc>
        <w:tc>
          <w:tcPr>
            <w:tcW w:w="2268" w:type="dxa"/>
            <w:tcBorders>
              <w:top w:val="single" w:sz="4" w:space="0" w:color="auto"/>
              <w:left w:val="single" w:sz="4" w:space="0" w:color="auto"/>
              <w:bottom w:val="single" w:sz="4" w:space="0" w:color="auto"/>
              <w:right w:val="single" w:sz="4" w:space="0" w:color="auto"/>
            </w:tcBorders>
            <w:hideMark/>
          </w:tcPr>
          <w:p w14:paraId="4552D984" w14:textId="77777777" w:rsidR="00493D1A" w:rsidRDefault="00493D1A" w:rsidP="00217675">
            <w:pPr>
              <w:rPr>
                <w:rFonts w:eastAsia="Calibri" w:cs="Arial"/>
                <w:szCs w:val="22"/>
                <w:lang w:eastAsia="en-US"/>
              </w:rPr>
            </w:pPr>
            <w:r>
              <w:rPr>
                <w:rFonts w:eastAsia="Calibri" w:cs="Arial"/>
                <w:szCs w:val="22"/>
                <w:lang w:eastAsia="en-US"/>
              </w:rPr>
              <w:t>Supporting Local Economies</w:t>
            </w:r>
          </w:p>
        </w:tc>
      </w:tr>
      <w:tr w:rsidR="00493D1A" w14:paraId="4552D988" w14:textId="77777777" w:rsidTr="00A00A02">
        <w:tc>
          <w:tcPr>
            <w:tcW w:w="6804" w:type="dxa"/>
            <w:tcBorders>
              <w:top w:val="single" w:sz="4" w:space="0" w:color="auto"/>
              <w:left w:val="single" w:sz="4" w:space="0" w:color="auto"/>
              <w:bottom w:val="single" w:sz="4" w:space="0" w:color="auto"/>
              <w:right w:val="single" w:sz="4" w:space="0" w:color="auto"/>
            </w:tcBorders>
            <w:hideMark/>
          </w:tcPr>
          <w:p w14:paraId="4552D986" w14:textId="77777777" w:rsidR="00493D1A" w:rsidRDefault="00493D1A" w:rsidP="00217675">
            <w:pPr>
              <w:rPr>
                <w:rFonts w:eastAsia="Calibri" w:cs="Arial"/>
                <w:szCs w:val="22"/>
                <w:lang w:eastAsia="en-US"/>
              </w:rPr>
            </w:pPr>
            <w:r>
              <w:rPr>
                <w:rFonts w:eastAsia="Calibri" w:cs="Arial"/>
                <w:szCs w:val="22"/>
                <w:lang w:eastAsia="en-US"/>
              </w:rPr>
              <w:t>Procurement that works with partners and suppliers to everyone’s advantage and exploits the benefits of technology</w:t>
            </w:r>
          </w:p>
        </w:tc>
        <w:tc>
          <w:tcPr>
            <w:tcW w:w="2268" w:type="dxa"/>
            <w:tcBorders>
              <w:top w:val="single" w:sz="4" w:space="0" w:color="auto"/>
              <w:left w:val="single" w:sz="4" w:space="0" w:color="auto"/>
              <w:bottom w:val="single" w:sz="4" w:space="0" w:color="auto"/>
              <w:right w:val="single" w:sz="4" w:space="0" w:color="auto"/>
            </w:tcBorders>
            <w:hideMark/>
          </w:tcPr>
          <w:p w14:paraId="4552D987" w14:textId="77777777" w:rsidR="00493D1A" w:rsidRDefault="00493D1A" w:rsidP="00217675">
            <w:pPr>
              <w:rPr>
                <w:rFonts w:eastAsia="Calibri" w:cs="Arial"/>
                <w:szCs w:val="22"/>
                <w:lang w:eastAsia="en-US"/>
              </w:rPr>
            </w:pPr>
            <w:r>
              <w:rPr>
                <w:rFonts w:eastAsia="Calibri" w:cs="Arial"/>
                <w:szCs w:val="22"/>
                <w:lang w:eastAsia="en-US"/>
              </w:rPr>
              <w:t>Modernising Procurement</w:t>
            </w:r>
          </w:p>
        </w:tc>
      </w:tr>
    </w:tbl>
    <w:p w14:paraId="4552D989" w14:textId="77777777" w:rsidR="00493D1A" w:rsidRDefault="00493D1A" w:rsidP="00493D1A">
      <w:pPr>
        <w:tabs>
          <w:tab w:val="left" w:pos="567"/>
        </w:tabs>
        <w:ind w:left="567" w:hanging="567"/>
        <w:rPr>
          <w:rFonts w:eastAsia="Calibri" w:cs="Arial"/>
          <w:sz w:val="24"/>
          <w:szCs w:val="24"/>
          <w:lang w:eastAsia="en-US"/>
        </w:rPr>
      </w:pPr>
    </w:p>
    <w:p w14:paraId="4552D98A" w14:textId="77777777" w:rsidR="00A00A02" w:rsidRPr="00A00A02" w:rsidRDefault="00A00A02" w:rsidP="00A00A02">
      <w:pPr>
        <w:ind w:firstLine="720"/>
        <w:rPr>
          <w:rFonts w:eastAsia="Calibri" w:cs="Arial"/>
          <w:szCs w:val="22"/>
          <w:lang w:eastAsia="en-US"/>
        </w:rPr>
      </w:pPr>
      <w:r w:rsidRPr="00A00A02">
        <w:rPr>
          <w:rFonts w:eastAsia="Calibri" w:cs="Arial"/>
          <w:szCs w:val="22"/>
          <w:lang w:eastAsia="en-US"/>
        </w:rPr>
        <w:t>A copy of the 2015 -2018 strategy is attached at Appendix 2 for information.</w:t>
      </w:r>
    </w:p>
    <w:p w14:paraId="4552D98B" w14:textId="77777777" w:rsidR="00A00A02" w:rsidRPr="00A00A02" w:rsidRDefault="00A00A02" w:rsidP="00A00A02">
      <w:pPr>
        <w:rPr>
          <w:rFonts w:eastAsia="Calibri" w:cs="Arial"/>
          <w:szCs w:val="22"/>
          <w:lang w:eastAsia="en-US"/>
        </w:rPr>
      </w:pPr>
    </w:p>
    <w:p w14:paraId="4552D98C" w14:textId="77777777" w:rsidR="00A00A02" w:rsidRPr="00A00A02" w:rsidRDefault="00A00A02" w:rsidP="00A00A02">
      <w:pPr>
        <w:ind w:left="567"/>
        <w:jc w:val="both"/>
        <w:rPr>
          <w:rFonts w:cs="Arial"/>
          <w:szCs w:val="22"/>
        </w:rPr>
      </w:pPr>
      <w:r w:rsidRPr="00A00A02">
        <w:rPr>
          <w:rFonts w:eastAsia="Calibri" w:cs="Arial"/>
          <w:szCs w:val="22"/>
          <w:lang w:eastAsia="en-US"/>
        </w:rPr>
        <w:t>This report sets out at Appendix 1 the performance achieved against the expiring 2015 -2018 Strategy and includes recommendations for a new refreshed 3 year JPS commencing 1.4.19.</w:t>
      </w:r>
    </w:p>
    <w:p w14:paraId="4552D98D" w14:textId="77777777" w:rsidR="00493D1A" w:rsidRPr="009C1143" w:rsidRDefault="00493D1A" w:rsidP="00555406">
      <w:pPr>
        <w:tabs>
          <w:tab w:val="left" w:pos="567"/>
        </w:tabs>
        <w:rPr>
          <w:i/>
          <w:color w:val="2E74B5"/>
          <w:szCs w:val="22"/>
        </w:rPr>
      </w:pPr>
    </w:p>
    <w:p w14:paraId="4552D98E" w14:textId="77777777" w:rsidR="002F5C5E" w:rsidRDefault="005E6FBB" w:rsidP="00B71A04">
      <w:pPr>
        <w:tabs>
          <w:tab w:val="left" w:pos="567"/>
        </w:tabs>
        <w:ind w:left="567" w:hanging="567"/>
        <w:rPr>
          <w:b/>
          <w:szCs w:val="22"/>
        </w:rPr>
      </w:pPr>
      <w:r>
        <w:rPr>
          <w:b/>
          <w:szCs w:val="22"/>
        </w:rPr>
        <w:t>5</w:t>
      </w:r>
      <w:r w:rsidR="00B71A04">
        <w:rPr>
          <w:b/>
          <w:szCs w:val="22"/>
        </w:rPr>
        <w:t>.</w:t>
      </w:r>
      <w:r w:rsidR="00B71A04">
        <w:rPr>
          <w:b/>
          <w:szCs w:val="22"/>
        </w:rPr>
        <w:tab/>
      </w:r>
      <w:r w:rsidR="001938D6">
        <w:rPr>
          <w:b/>
          <w:szCs w:val="22"/>
        </w:rPr>
        <w:t xml:space="preserve">PROPOSALS (e.g. </w:t>
      </w:r>
      <w:r w:rsidR="002F5C5E" w:rsidRPr="009C1143">
        <w:rPr>
          <w:b/>
          <w:szCs w:val="22"/>
        </w:rPr>
        <w:t>RATIONALE, DETAIL</w:t>
      </w:r>
      <w:r w:rsidR="00D37BAE">
        <w:rPr>
          <w:b/>
          <w:szCs w:val="22"/>
        </w:rPr>
        <w:t>, FINANCIAL, PROCUREMENT</w:t>
      </w:r>
      <w:r w:rsidR="002F5C5E" w:rsidRPr="009C1143">
        <w:rPr>
          <w:b/>
          <w:szCs w:val="22"/>
        </w:rPr>
        <w:t>)</w:t>
      </w:r>
    </w:p>
    <w:p w14:paraId="4552D98F" w14:textId="77777777" w:rsidR="001938D6" w:rsidRDefault="001938D6" w:rsidP="00B71A04">
      <w:pPr>
        <w:tabs>
          <w:tab w:val="left" w:pos="567"/>
        </w:tabs>
        <w:ind w:left="567" w:hanging="567"/>
        <w:rPr>
          <w:b/>
          <w:szCs w:val="22"/>
        </w:rPr>
      </w:pPr>
    </w:p>
    <w:p w14:paraId="4552D990" w14:textId="77777777" w:rsidR="002F5C5E" w:rsidRPr="00A00A02" w:rsidRDefault="005E6FBB" w:rsidP="00A00A02">
      <w:pPr>
        <w:tabs>
          <w:tab w:val="left" w:pos="567"/>
        </w:tabs>
        <w:ind w:left="567" w:hanging="567"/>
        <w:rPr>
          <w:rFonts w:cs="Arial"/>
          <w:b/>
          <w:bCs/>
          <w:kern w:val="32"/>
          <w:szCs w:val="22"/>
        </w:rPr>
      </w:pPr>
      <w:r>
        <w:rPr>
          <w:b/>
          <w:szCs w:val="22"/>
        </w:rPr>
        <w:t>5</w:t>
      </w:r>
      <w:r w:rsidR="001938D6" w:rsidRPr="00A00A02">
        <w:rPr>
          <w:b/>
          <w:szCs w:val="22"/>
        </w:rPr>
        <w:t>.1</w:t>
      </w:r>
      <w:r w:rsidR="001938D6" w:rsidRPr="00A00A02">
        <w:rPr>
          <w:b/>
          <w:szCs w:val="22"/>
        </w:rPr>
        <w:tab/>
      </w:r>
      <w:r w:rsidR="00A00A02" w:rsidRPr="00A00A02">
        <w:rPr>
          <w:rFonts w:cs="Arial"/>
          <w:b/>
          <w:bCs/>
          <w:kern w:val="32"/>
          <w:szCs w:val="22"/>
        </w:rPr>
        <w:t>Summary of Progress and Achievements</w:t>
      </w:r>
    </w:p>
    <w:p w14:paraId="4552D991" w14:textId="77777777" w:rsidR="00A00A02" w:rsidRPr="00A00A02" w:rsidRDefault="00A00A02" w:rsidP="00A00A02">
      <w:pPr>
        <w:tabs>
          <w:tab w:val="left" w:pos="567"/>
        </w:tabs>
        <w:ind w:left="567" w:hanging="567"/>
        <w:rPr>
          <w:b/>
          <w:szCs w:val="22"/>
        </w:rPr>
      </w:pPr>
    </w:p>
    <w:p w14:paraId="4552D992" w14:textId="77777777" w:rsidR="00A00A02" w:rsidRPr="00A00A02" w:rsidRDefault="00A00A02" w:rsidP="00A00A02">
      <w:pPr>
        <w:ind w:left="567"/>
        <w:jc w:val="both"/>
        <w:rPr>
          <w:rFonts w:cs="Arial"/>
          <w:szCs w:val="22"/>
        </w:rPr>
      </w:pPr>
      <w:r w:rsidRPr="00A00A02">
        <w:rPr>
          <w:rFonts w:cs="Arial"/>
          <w:szCs w:val="22"/>
        </w:rPr>
        <w:t>Significant progress and achievements have been made during the life of the JPS.  Key achievements include:</w:t>
      </w:r>
    </w:p>
    <w:p w14:paraId="4552D993" w14:textId="77777777" w:rsidR="00A00A02" w:rsidRPr="00A00A02" w:rsidRDefault="00A00A02" w:rsidP="00A00A02">
      <w:pPr>
        <w:jc w:val="both"/>
        <w:rPr>
          <w:rFonts w:cs="Arial"/>
          <w:szCs w:val="22"/>
        </w:rPr>
      </w:pPr>
    </w:p>
    <w:p w14:paraId="4552D994" w14:textId="77777777" w:rsidR="00A00A02" w:rsidRPr="00A00A02" w:rsidRDefault="00A00A02" w:rsidP="00A00A02">
      <w:pPr>
        <w:numPr>
          <w:ilvl w:val="0"/>
          <w:numId w:val="16"/>
        </w:numPr>
        <w:jc w:val="both"/>
        <w:rPr>
          <w:rFonts w:cs="Arial"/>
          <w:szCs w:val="22"/>
        </w:rPr>
      </w:pPr>
      <w:r w:rsidRPr="00A00A02">
        <w:rPr>
          <w:rFonts w:cs="Arial"/>
          <w:szCs w:val="22"/>
        </w:rPr>
        <w:t>Guidance, promotion and awareness across both Councils including presentation to SRBC Core Managers, and one to one and team sessions as appropriate.</w:t>
      </w:r>
    </w:p>
    <w:p w14:paraId="4552D995" w14:textId="77777777" w:rsidR="00A00A02" w:rsidRPr="00A00A02" w:rsidRDefault="00A00A02" w:rsidP="00A00A02">
      <w:pPr>
        <w:jc w:val="both"/>
        <w:rPr>
          <w:rFonts w:cs="Arial"/>
          <w:szCs w:val="22"/>
        </w:rPr>
      </w:pPr>
    </w:p>
    <w:p w14:paraId="4552D996" w14:textId="77777777" w:rsidR="00A00A02" w:rsidRPr="00A00A02" w:rsidRDefault="00A00A02" w:rsidP="00A00A02">
      <w:pPr>
        <w:numPr>
          <w:ilvl w:val="0"/>
          <w:numId w:val="16"/>
        </w:numPr>
        <w:jc w:val="both"/>
        <w:rPr>
          <w:rFonts w:cs="Arial"/>
          <w:szCs w:val="22"/>
        </w:rPr>
      </w:pPr>
      <w:r w:rsidRPr="00A00A02">
        <w:rPr>
          <w:rFonts w:cs="Arial"/>
          <w:szCs w:val="22"/>
        </w:rPr>
        <w:t>Maintenance and promotion of useful guidance documentation including a quick reference Pocket Guide of the Procurement Process and a detailed more comprehensive Staff Guide to Procurement.</w:t>
      </w:r>
    </w:p>
    <w:p w14:paraId="4552D997" w14:textId="77777777" w:rsidR="00A00A02" w:rsidRPr="00A00A02" w:rsidRDefault="00A00A02" w:rsidP="00A00A02">
      <w:pPr>
        <w:jc w:val="both"/>
        <w:rPr>
          <w:rFonts w:cs="Arial"/>
          <w:szCs w:val="22"/>
        </w:rPr>
      </w:pPr>
    </w:p>
    <w:p w14:paraId="4552D998" w14:textId="77777777" w:rsidR="00A00A02" w:rsidRPr="00A00A02" w:rsidRDefault="00A00A02" w:rsidP="00A00A02">
      <w:pPr>
        <w:numPr>
          <w:ilvl w:val="0"/>
          <w:numId w:val="16"/>
        </w:numPr>
        <w:jc w:val="both"/>
        <w:rPr>
          <w:rFonts w:cs="Arial"/>
          <w:szCs w:val="22"/>
        </w:rPr>
      </w:pPr>
      <w:r w:rsidRPr="00A00A02">
        <w:rPr>
          <w:rFonts w:cs="Arial"/>
          <w:szCs w:val="22"/>
        </w:rPr>
        <w:t>Development and publication of a Members Pocket Guide to Procurement.</w:t>
      </w:r>
    </w:p>
    <w:p w14:paraId="4552D999" w14:textId="77777777" w:rsidR="00A00A02" w:rsidRPr="00A00A02" w:rsidRDefault="00A00A02" w:rsidP="00A00A02">
      <w:pPr>
        <w:jc w:val="both"/>
        <w:rPr>
          <w:rFonts w:cs="Arial"/>
          <w:szCs w:val="22"/>
        </w:rPr>
      </w:pPr>
    </w:p>
    <w:p w14:paraId="4552D99A" w14:textId="77777777" w:rsidR="00A00A02" w:rsidRPr="00A00A02" w:rsidRDefault="00A00A02" w:rsidP="00A00A02">
      <w:pPr>
        <w:numPr>
          <w:ilvl w:val="0"/>
          <w:numId w:val="16"/>
        </w:numPr>
        <w:jc w:val="both"/>
        <w:rPr>
          <w:rFonts w:cs="Arial"/>
          <w:szCs w:val="22"/>
        </w:rPr>
      </w:pPr>
      <w:r w:rsidRPr="00A00A02">
        <w:rPr>
          <w:rFonts w:cs="Arial"/>
          <w:szCs w:val="22"/>
        </w:rPr>
        <w:t>Standard Conditions of Contract Pack including template sets of Conditions for various contract types together with user guidance, maintained and published in consultation with Legal Services at both CBC and SRBC and implemented across both authorities.</w:t>
      </w:r>
    </w:p>
    <w:p w14:paraId="4552D99B" w14:textId="77777777" w:rsidR="00A00A02" w:rsidRPr="00A00A02" w:rsidRDefault="00A00A02" w:rsidP="00A00A02">
      <w:pPr>
        <w:jc w:val="both"/>
        <w:rPr>
          <w:rFonts w:cs="Arial"/>
          <w:szCs w:val="22"/>
        </w:rPr>
      </w:pPr>
    </w:p>
    <w:p w14:paraId="4552D99C" w14:textId="77777777" w:rsidR="00A00A02" w:rsidRPr="00A00A02" w:rsidRDefault="00A00A02" w:rsidP="00A00A02">
      <w:pPr>
        <w:numPr>
          <w:ilvl w:val="0"/>
          <w:numId w:val="16"/>
        </w:numPr>
        <w:jc w:val="both"/>
        <w:rPr>
          <w:rFonts w:cs="Arial"/>
          <w:szCs w:val="22"/>
        </w:rPr>
      </w:pPr>
      <w:r w:rsidRPr="00A00A02">
        <w:rPr>
          <w:rFonts w:cs="Arial"/>
          <w:szCs w:val="22"/>
        </w:rPr>
        <w:t>Template Quotation and Tender documentation maintained and used at both authorities to simplify the procurement process for both officers and suppliers</w:t>
      </w:r>
    </w:p>
    <w:p w14:paraId="4552D99D" w14:textId="77777777" w:rsidR="00A00A02" w:rsidRPr="00A00A02" w:rsidRDefault="00A00A02" w:rsidP="00A00A02">
      <w:pPr>
        <w:jc w:val="both"/>
        <w:rPr>
          <w:rFonts w:cs="Arial"/>
          <w:szCs w:val="22"/>
        </w:rPr>
      </w:pPr>
    </w:p>
    <w:p w14:paraId="4552D99E" w14:textId="77777777" w:rsidR="00A00A02" w:rsidRPr="00A00A02" w:rsidRDefault="00A00A02" w:rsidP="00A00A02">
      <w:pPr>
        <w:numPr>
          <w:ilvl w:val="0"/>
          <w:numId w:val="16"/>
        </w:numPr>
        <w:jc w:val="both"/>
        <w:rPr>
          <w:rFonts w:cs="Arial"/>
          <w:szCs w:val="22"/>
        </w:rPr>
      </w:pPr>
      <w:r w:rsidRPr="00A00A02">
        <w:rPr>
          <w:rFonts w:cs="Arial"/>
          <w:szCs w:val="22"/>
        </w:rPr>
        <w:t xml:space="preserve">Management of the Chest e-procurement portal, including migration to Version 3.  </w:t>
      </w:r>
    </w:p>
    <w:p w14:paraId="4552D99F" w14:textId="77777777" w:rsidR="00A00A02" w:rsidRPr="00A00A02" w:rsidRDefault="00A00A02" w:rsidP="00A00A02">
      <w:pPr>
        <w:jc w:val="both"/>
        <w:rPr>
          <w:rFonts w:cs="Arial"/>
          <w:szCs w:val="22"/>
        </w:rPr>
      </w:pPr>
    </w:p>
    <w:p w14:paraId="4552D9A0" w14:textId="77777777" w:rsidR="00A00A02" w:rsidRPr="00A00A02" w:rsidRDefault="00A00A02" w:rsidP="00A00A02">
      <w:pPr>
        <w:numPr>
          <w:ilvl w:val="0"/>
          <w:numId w:val="16"/>
        </w:numPr>
        <w:jc w:val="both"/>
        <w:rPr>
          <w:rFonts w:cs="Arial"/>
          <w:szCs w:val="22"/>
        </w:rPr>
      </w:pPr>
      <w:r w:rsidRPr="00A00A02">
        <w:rPr>
          <w:rFonts w:cs="Arial"/>
          <w:szCs w:val="22"/>
        </w:rPr>
        <w:lastRenderedPageBreak/>
        <w:t>Review and Update of Contracts Procedure Rules at both authorities including new requirements arising from the 2015 Public Contracts Regulations including Contracts Finder obligations, together with some additional practical updates to ensure the rules remain effective, clear, and fit for purpose, and minimising bureaucracy whilst maintaining effective control.</w:t>
      </w:r>
    </w:p>
    <w:p w14:paraId="4552D9A1" w14:textId="77777777" w:rsidR="00A00A02" w:rsidRPr="00A00A02" w:rsidRDefault="00A00A02" w:rsidP="00A00A02">
      <w:pPr>
        <w:jc w:val="both"/>
        <w:rPr>
          <w:rFonts w:cs="Arial"/>
          <w:szCs w:val="22"/>
        </w:rPr>
      </w:pPr>
    </w:p>
    <w:p w14:paraId="4552D9A2" w14:textId="77777777" w:rsidR="00A00A02" w:rsidRPr="00A00A02" w:rsidRDefault="00A00A02" w:rsidP="00A00A02">
      <w:pPr>
        <w:numPr>
          <w:ilvl w:val="0"/>
          <w:numId w:val="16"/>
        </w:numPr>
        <w:jc w:val="both"/>
        <w:rPr>
          <w:rFonts w:cs="Arial"/>
          <w:szCs w:val="22"/>
        </w:rPr>
      </w:pPr>
      <w:r w:rsidRPr="00A00A02">
        <w:rPr>
          <w:rFonts w:cs="Arial"/>
          <w:szCs w:val="22"/>
        </w:rPr>
        <w:t>Use of national frameworks where appropriate  to maximise efficiencies in the procurement process and take full advantage of collaborative opportunities e.g. insurance, vehicles, energy, construction, consultancy, agency staff, office stationary, Microsoft Licensing, ICT projects etc.</w:t>
      </w:r>
    </w:p>
    <w:p w14:paraId="4552D9A3" w14:textId="77777777" w:rsidR="00A00A02" w:rsidRPr="00A00A02" w:rsidRDefault="00A00A02" w:rsidP="00A00A02">
      <w:pPr>
        <w:jc w:val="both"/>
        <w:rPr>
          <w:rFonts w:cs="Arial"/>
          <w:szCs w:val="22"/>
          <w:highlight w:val="yellow"/>
        </w:rPr>
      </w:pPr>
    </w:p>
    <w:p w14:paraId="4552D9A4" w14:textId="77777777" w:rsidR="00A00A02" w:rsidRPr="00A00A02" w:rsidRDefault="00A00A02" w:rsidP="00A00A02">
      <w:pPr>
        <w:numPr>
          <w:ilvl w:val="0"/>
          <w:numId w:val="16"/>
        </w:numPr>
        <w:jc w:val="both"/>
        <w:rPr>
          <w:rFonts w:cs="Arial"/>
          <w:szCs w:val="22"/>
        </w:rPr>
      </w:pPr>
      <w:r w:rsidRPr="00A00A02">
        <w:rPr>
          <w:rFonts w:cs="Arial"/>
          <w:szCs w:val="22"/>
        </w:rPr>
        <w:t>Delivery of several inter-authority collaborative procurement projects including insurance, PPE (Personal Protective Equipment), janitorial products, spring and summer bedding plants, consultancy etc.</w:t>
      </w:r>
    </w:p>
    <w:p w14:paraId="4552D9A5" w14:textId="77777777" w:rsidR="00A00A02" w:rsidRPr="00A00A02" w:rsidRDefault="00A00A02" w:rsidP="00A00A02">
      <w:pPr>
        <w:jc w:val="both"/>
        <w:rPr>
          <w:rFonts w:cs="Arial"/>
          <w:szCs w:val="22"/>
        </w:rPr>
      </w:pPr>
    </w:p>
    <w:p w14:paraId="4552D9A6" w14:textId="77777777" w:rsidR="00A00A02" w:rsidRPr="00A00A02" w:rsidRDefault="00A00A02" w:rsidP="00A00A02">
      <w:pPr>
        <w:numPr>
          <w:ilvl w:val="0"/>
          <w:numId w:val="16"/>
        </w:numPr>
        <w:jc w:val="both"/>
        <w:rPr>
          <w:rFonts w:cs="Arial"/>
          <w:szCs w:val="22"/>
        </w:rPr>
      </w:pPr>
      <w:r w:rsidRPr="00A00A02">
        <w:rPr>
          <w:rFonts w:cs="Arial"/>
          <w:szCs w:val="22"/>
        </w:rPr>
        <w:t>Provision of valued professional procurement advice and support across both Councils from day to day general assistance to major procurement exercises and significant corporate projects including the major waste and recycling contracts at both authorities, several high value vehicle procurements, the Joint Insurance Tender, the ERDF funded Digital Office Park project at Chorley and various D &amp; B of play schemes, building and regeneration works etc.</w:t>
      </w:r>
    </w:p>
    <w:p w14:paraId="4552D9A7" w14:textId="77777777" w:rsidR="00A00A02" w:rsidRPr="00A00A02" w:rsidRDefault="00A00A02" w:rsidP="00A00A02">
      <w:pPr>
        <w:jc w:val="both"/>
        <w:rPr>
          <w:rFonts w:cs="Arial"/>
          <w:szCs w:val="22"/>
        </w:rPr>
      </w:pPr>
    </w:p>
    <w:p w14:paraId="4552D9A8" w14:textId="77777777" w:rsidR="00A00A02" w:rsidRPr="00A00A02" w:rsidRDefault="00A00A02" w:rsidP="00A00A02">
      <w:pPr>
        <w:numPr>
          <w:ilvl w:val="0"/>
          <w:numId w:val="16"/>
        </w:numPr>
        <w:jc w:val="both"/>
        <w:rPr>
          <w:rFonts w:cs="Arial"/>
          <w:szCs w:val="22"/>
        </w:rPr>
      </w:pPr>
      <w:r w:rsidRPr="00A00A02">
        <w:rPr>
          <w:rFonts w:cs="Arial"/>
          <w:szCs w:val="22"/>
        </w:rPr>
        <w:t>Achieving consistently high results in customer satisfaction surveys, including an excellent rate of 100% overall customer satisfaction in each of the last three annual surveys.</w:t>
      </w:r>
    </w:p>
    <w:p w14:paraId="4552D9A9" w14:textId="77777777" w:rsidR="00A00A02" w:rsidRPr="00A00A02" w:rsidRDefault="00A00A02" w:rsidP="00A00A02">
      <w:pPr>
        <w:jc w:val="both"/>
        <w:rPr>
          <w:rFonts w:cs="Arial"/>
          <w:szCs w:val="22"/>
        </w:rPr>
      </w:pPr>
    </w:p>
    <w:p w14:paraId="4552D9AA" w14:textId="77777777" w:rsidR="00A00A02" w:rsidRPr="00A00A02" w:rsidRDefault="00A00A02" w:rsidP="00A00A02">
      <w:pPr>
        <w:numPr>
          <w:ilvl w:val="0"/>
          <w:numId w:val="17"/>
        </w:numPr>
        <w:jc w:val="both"/>
        <w:rPr>
          <w:rFonts w:cs="Arial"/>
          <w:szCs w:val="22"/>
        </w:rPr>
      </w:pPr>
      <w:r w:rsidRPr="00A00A02">
        <w:rPr>
          <w:rFonts w:cs="Arial"/>
          <w:szCs w:val="22"/>
        </w:rPr>
        <w:t>Consistent delivery of a high quality service with blended working across all service areas.</w:t>
      </w:r>
    </w:p>
    <w:p w14:paraId="4552D9AB" w14:textId="77777777" w:rsidR="00A00A02" w:rsidRPr="00A00A02" w:rsidRDefault="00A00A02" w:rsidP="00A00A02">
      <w:pPr>
        <w:ind w:left="663"/>
        <w:jc w:val="both"/>
        <w:rPr>
          <w:rFonts w:cs="Arial"/>
          <w:szCs w:val="22"/>
        </w:rPr>
      </w:pPr>
    </w:p>
    <w:p w14:paraId="4552D9AC" w14:textId="77777777" w:rsidR="00A00A02" w:rsidRPr="00A00A02" w:rsidRDefault="00A00A02" w:rsidP="00A00A02">
      <w:pPr>
        <w:numPr>
          <w:ilvl w:val="0"/>
          <w:numId w:val="17"/>
        </w:numPr>
        <w:jc w:val="both"/>
        <w:rPr>
          <w:rFonts w:cs="Arial"/>
          <w:szCs w:val="22"/>
        </w:rPr>
      </w:pPr>
      <w:r w:rsidRPr="00A00A02">
        <w:rPr>
          <w:rFonts w:cs="Arial"/>
          <w:szCs w:val="22"/>
        </w:rPr>
        <w:t>Detailed spend analysis carried out to identify a clear picture of procurement, establish procurement opportunities, and also areas where additional training may be required.</w:t>
      </w:r>
    </w:p>
    <w:p w14:paraId="4552D9AD" w14:textId="77777777" w:rsidR="00A00A02" w:rsidRPr="00A00A02" w:rsidRDefault="00A00A02" w:rsidP="00A00A02">
      <w:pPr>
        <w:ind w:left="663"/>
        <w:jc w:val="both"/>
        <w:rPr>
          <w:rFonts w:cs="Arial"/>
          <w:szCs w:val="22"/>
          <w:highlight w:val="yellow"/>
        </w:rPr>
      </w:pPr>
    </w:p>
    <w:p w14:paraId="4552D9AE" w14:textId="77777777" w:rsidR="00A00A02" w:rsidRPr="00A00A02" w:rsidRDefault="00A00A02" w:rsidP="00A00A02">
      <w:pPr>
        <w:numPr>
          <w:ilvl w:val="0"/>
          <w:numId w:val="17"/>
        </w:numPr>
        <w:jc w:val="both"/>
        <w:rPr>
          <w:rFonts w:cs="Arial"/>
          <w:szCs w:val="22"/>
        </w:rPr>
      </w:pPr>
      <w:r w:rsidRPr="00A00A02">
        <w:rPr>
          <w:rFonts w:cs="Arial"/>
          <w:szCs w:val="22"/>
        </w:rPr>
        <w:t>Development at SRBC in consultation with IT, Legal and other colleagues of an e-workflow on Firmstep to process waiver of intermediate value Contracts Procedure Rule (CPR) requests, capturing required approvals and additional Finance and procurement comments.  The system will provide a full e-audit history, and a fully searchable database of all waiver requests submitted through it. A similar system is in operation at CBC.</w:t>
      </w:r>
    </w:p>
    <w:p w14:paraId="4552D9AF" w14:textId="77777777" w:rsidR="00A00A02" w:rsidRPr="00A00A02" w:rsidRDefault="00A00A02" w:rsidP="00A00A02">
      <w:pPr>
        <w:jc w:val="both"/>
        <w:rPr>
          <w:rFonts w:cs="Arial"/>
          <w:szCs w:val="22"/>
          <w:highlight w:val="yellow"/>
        </w:rPr>
      </w:pPr>
    </w:p>
    <w:p w14:paraId="4552D9B0" w14:textId="77777777" w:rsidR="00A00A02" w:rsidRPr="00A00A02" w:rsidRDefault="00A00A02" w:rsidP="00A00A02">
      <w:pPr>
        <w:numPr>
          <w:ilvl w:val="0"/>
          <w:numId w:val="17"/>
        </w:numPr>
        <w:jc w:val="both"/>
        <w:rPr>
          <w:rFonts w:cs="Arial"/>
          <w:szCs w:val="22"/>
        </w:rPr>
      </w:pPr>
      <w:r w:rsidRPr="00A00A02">
        <w:rPr>
          <w:rFonts w:cs="Arial"/>
          <w:szCs w:val="22"/>
        </w:rPr>
        <w:t xml:space="preserve">Significant procurement efficiencies achieved through the procurement process exceeding the £100,000 cumulative strategy target for each Council. The Procurement Team have been involved in a wide variety of procurement and tendering processes and, over the three year Strategy life procurement activity has generated efficiencies for both Councils as set out below. The vast majority of savings have been calculated by comparing the accepted tender cost with budget provision /pre-contract estimate or by comparing the accepted tender cost with the previous contract cost where the procurement is a contract renewal.  Some savings have resulted in an actual budget reduction or have released funds to provide more for goods/ services/works.  </w:t>
      </w:r>
    </w:p>
    <w:p w14:paraId="4552D9B1" w14:textId="77777777" w:rsidR="00A00A02" w:rsidRPr="00AD4047" w:rsidRDefault="00A00A02" w:rsidP="00A00A02">
      <w:pPr>
        <w:jc w:val="both"/>
        <w:rPr>
          <w:rFonts w:cs="Arial"/>
          <w:sz w:val="16"/>
          <w:szCs w:val="16"/>
        </w:rPr>
      </w:pPr>
    </w:p>
    <w:p w14:paraId="4552D9B2" w14:textId="77777777" w:rsidR="00A00A02" w:rsidRPr="00A00A02" w:rsidRDefault="00A00A02" w:rsidP="00A00A02">
      <w:pPr>
        <w:ind w:left="777"/>
        <w:jc w:val="both"/>
        <w:rPr>
          <w:rFonts w:cs="Arial"/>
          <w:szCs w:val="22"/>
        </w:rPr>
      </w:pPr>
      <w:r w:rsidRPr="00A00A02">
        <w:rPr>
          <w:rFonts w:cs="Arial"/>
          <w:szCs w:val="22"/>
        </w:rPr>
        <w:t xml:space="preserve">Recorded procurement efficiencies for financial years 15/16, 16/17 and 17/18 achieved a cumulative total as detailed below.  </w:t>
      </w:r>
    </w:p>
    <w:p w14:paraId="4552D9B3" w14:textId="77777777" w:rsidR="00A00A02" w:rsidRPr="00AD4047" w:rsidRDefault="00A00A02" w:rsidP="00A00A02">
      <w:pPr>
        <w:ind w:left="663"/>
        <w:jc w:val="both"/>
        <w:rPr>
          <w:rFonts w:cs="Arial"/>
          <w:sz w:val="16"/>
          <w:szCs w:val="16"/>
        </w:rPr>
      </w:pPr>
    </w:p>
    <w:p w14:paraId="4552D9B4" w14:textId="77777777" w:rsidR="00A00A02" w:rsidRPr="00A00A02" w:rsidRDefault="00A00A02" w:rsidP="00A00A02">
      <w:pPr>
        <w:numPr>
          <w:ilvl w:val="0"/>
          <w:numId w:val="18"/>
        </w:numPr>
        <w:ind w:left="2410"/>
        <w:jc w:val="both"/>
        <w:rPr>
          <w:rFonts w:cs="Arial"/>
          <w:szCs w:val="22"/>
        </w:rPr>
      </w:pPr>
      <w:r w:rsidRPr="00A00A02">
        <w:rPr>
          <w:rFonts w:cs="Arial"/>
          <w:szCs w:val="22"/>
        </w:rPr>
        <w:t xml:space="preserve"> SRBC  £2,091,947</w:t>
      </w:r>
    </w:p>
    <w:p w14:paraId="4552D9B5" w14:textId="77777777" w:rsidR="00A00A02" w:rsidRPr="00AD4047" w:rsidRDefault="00A00A02" w:rsidP="00AD4047">
      <w:pPr>
        <w:numPr>
          <w:ilvl w:val="0"/>
          <w:numId w:val="18"/>
        </w:numPr>
        <w:ind w:left="2410"/>
        <w:jc w:val="both"/>
        <w:rPr>
          <w:rFonts w:cs="Arial"/>
          <w:szCs w:val="22"/>
        </w:rPr>
      </w:pPr>
      <w:r w:rsidRPr="00A00A02">
        <w:rPr>
          <w:rFonts w:cs="Arial"/>
          <w:szCs w:val="22"/>
        </w:rPr>
        <w:t xml:space="preserve"> CBC    £483,510</w:t>
      </w:r>
    </w:p>
    <w:p w14:paraId="4552D9B6" w14:textId="77777777" w:rsidR="00AD4047" w:rsidRDefault="00AD4047" w:rsidP="00AD4047">
      <w:pPr>
        <w:ind w:left="720"/>
        <w:jc w:val="both"/>
        <w:rPr>
          <w:rFonts w:cs="Arial"/>
          <w:szCs w:val="22"/>
        </w:rPr>
      </w:pPr>
    </w:p>
    <w:p w14:paraId="4552D9B7" w14:textId="77777777" w:rsidR="00A00A02" w:rsidRPr="00A00A02" w:rsidRDefault="00A00A02" w:rsidP="00AD4047">
      <w:pPr>
        <w:ind w:left="720"/>
        <w:jc w:val="both"/>
        <w:rPr>
          <w:rFonts w:cs="Arial"/>
          <w:szCs w:val="22"/>
        </w:rPr>
      </w:pPr>
      <w:r w:rsidRPr="00A00A02">
        <w:rPr>
          <w:rFonts w:cs="Arial"/>
          <w:szCs w:val="22"/>
        </w:rPr>
        <w:t xml:space="preserve">The significantly higher total achieved at SRBC is a result of the high annual savings achieved through the procurement of the waste partnering contract which resulted in a change of Contractor.  </w:t>
      </w:r>
    </w:p>
    <w:p w14:paraId="4552D9B8" w14:textId="77777777" w:rsidR="00A00A02" w:rsidRPr="00A00A02" w:rsidRDefault="00A00A02" w:rsidP="00A00A02">
      <w:pPr>
        <w:jc w:val="both"/>
        <w:rPr>
          <w:rFonts w:cs="Arial"/>
          <w:color w:val="FF0000"/>
          <w:szCs w:val="22"/>
        </w:rPr>
      </w:pPr>
    </w:p>
    <w:p w14:paraId="4552D9B9" w14:textId="77777777" w:rsidR="00A00A02" w:rsidRPr="00A00A02" w:rsidRDefault="00A00A02" w:rsidP="00A00A02">
      <w:pPr>
        <w:ind w:left="720"/>
        <w:jc w:val="both"/>
        <w:rPr>
          <w:rFonts w:cs="Arial"/>
          <w:b/>
          <w:szCs w:val="22"/>
        </w:rPr>
      </w:pPr>
      <w:r w:rsidRPr="00A00A02">
        <w:rPr>
          <w:rFonts w:cs="Arial"/>
          <w:szCs w:val="22"/>
        </w:rPr>
        <w:t>Significant savings in excess of £1.2 million per year have also been achieved in the recent procurement of the CBC waste contract and will be realised with effect from the commencement of the new contract with FCC from April 2019.  It’s worth noting that the new CBC waste contract will build further on CBC/ SRBC partnership working, generating efficiencies and savings for both authorities with a shared FCC Contract Manager, and with depot, servicing and maintenance facilities provided for both authority contracts from the SRBC Moss Side depot.</w:t>
      </w:r>
    </w:p>
    <w:p w14:paraId="4552D9BA" w14:textId="77777777" w:rsidR="00A00A02" w:rsidRDefault="00A00A02" w:rsidP="00A00A02">
      <w:pPr>
        <w:tabs>
          <w:tab w:val="left" w:pos="567"/>
        </w:tabs>
        <w:ind w:left="567" w:hanging="567"/>
        <w:rPr>
          <w:b/>
          <w:szCs w:val="22"/>
        </w:rPr>
      </w:pPr>
    </w:p>
    <w:p w14:paraId="4552D9BB" w14:textId="77777777" w:rsidR="00A00A02" w:rsidRPr="00A00A02" w:rsidRDefault="005E6FBB" w:rsidP="00A00A02">
      <w:pPr>
        <w:rPr>
          <w:rFonts w:eastAsia="Calibri" w:cs="Arial"/>
          <w:b/>
          <w:szCs w:val="22"/>
          <w:lang w:eastAsia="en-US"/>
        </w:rPr>
      </w:pPr>
      <w:r>
        <w:rPr>
          <w:rFonts w:eastAsia="Calibri" w:cs="Arial"/>
          <w:b/>
          <w:szCs w:val="22"/>
          <w:lang w:eastAsia="en-US"/>
        </w:rPr>
        <w:t>5</w:t>
      </w:r>
      <w:r w:rsidR="00A00A02">
        <w:rPr>
          <w:rFonts w:eastAsia="Calibri" w:cs="Arial"/>
          <w:b/>
          <w:szCs w:val="22"/>
          <w:lang w:eastAsia="en-US"/>
        </w:rPr>
        <w:t>.2</w:t>
      </w:r>
      <w:r w:rsidR="00A00A02" w:rsidRPr="00A00A02">
        <w:rPr>
          <w:rFonts w:eastAsia="Calibri" w:cs="Arial"/>
          <w:b/>
          <w:szCs w:val="22"/>
          <w:lang w:eastAsia="en-US"/>
        </w:rPr>
        <w:t> </w:t>
      </w:r>
      <w:r w:rsidR="00A00A02">
        <w:rPr>
          <w:rFonts w:eastAsia="Calibri" w:cs="Arial"/>
          <w:b/>
          <w:szCs w:val="22"/>
          <w:lang w:eastAsia="en-US"/>
        </w:rPr>
        <w:tab/>
      </w:r>
      <w:r w:rsidR="00A00A02" w:rsidRPr="00A00A02">
        <w:rPr>
          <w:rFonts w:eastAsia="Calibri" w:cs="Arial"/>
          <w:b/>
          <w:szCs w:val="22"/>
          <w:lang w:eastAsia="en-US"/>
        </w:rPr>
        <w:t>Current Position and Moving Forward</w:t>
      </w:r>
    </w:p>
    <w:p w14:paraId="4552D9BC" w14:textId="77777777" w:rsidR="00A00A02" w:rsidRPr="00A00A02" w:rsidRDefault="00A00A02" w:rsidP="00A00A02">
      <w:pPr>
        <w:rPr>
          <w:rFonts w:eastAsia="Calibri" w:cs="Arial"/>
          <w:b/>
          <w:szCs w:val="22"/>
          <w:lang w:eastAsia="en-US"/>
        </w:rPr>
      </w:pPr>
    </w:p>
    <w:p w14:paraId="4552D9BD"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Since the commencement of the Shared Procurement Service and the first JPS in 2009, many of the building blocks to an effective procurement service have been put in place including promotion and training, published guidance, awareness of social value and sustainable procurement,  model documents, reviews of procedures and rules, a new financial system, e-tendering system and spend analysis.  This has led to a gradual escalation of the procurement profile, and an improved culture and overall awareness of the importance of modern, best practice procurement processes, rules and procedures and relevant legislation.  This in turn has resulted in an increased growth and demand for procurement support as more and more procurement opportunities are channelled through the Procurement Team.</w:t>
      </w:r>
    </w:p>
    <w:p w14:paraId="4552D9BE" w14:textId="77777777" w:rsidR="00A00A02" w:rsidRPr="00A00A02" w:rsidRDefault="00A00A02" w:rsidP="00A00A02">
      <w:pPr>
        <w:rPr>
          <w:rFonts w:eastAsia="Calibri" w:cs="Arial"/>
          <w:szCs w:val="22"/>
          <w:lang w:eastAsia="en-US"/>
        </w:rPr>
      </w:pPr>
    </w:p>
    <w:p w14:paraId="4552D9BF"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As demand for the service has increased, resources within the shared Procurement team have become increasingly stretched and it is important that future plans and priorities recognise and take account of this.  Moving forward we need to maintain and build on the achievements whilst continuing to be flexible and innovative taking advantage of new opportunities moving forward.  This will require effective leadership, commitment and engagement at all levels to ensure that all officers are effectively aware, engaged and committed to their procurement responsibilities in delivering the Councils’ respective corporate priorities and joint procurement priorities.</w:t>
      </w:r>
    </w:p>
    <w:p w14:paraId="4552D9C0" w14:textId="77777777" w:rsidR="00A00A02" w:rsidRPr="00A00A02" w:rsidRDefault="00A00A02" w:rsidP="00A00A02">
      <w:pPr>
        <w:rPr>
          <w:rFonts w:eastAsia="Calibri" w:cs="Arial"/>
          <w:szCs w:val="22"/>
          <w:lang w:eastAsia="en-US"/>
        </w:rPr>
      </w:pPr>
    </w:p>
    <w:p w14:paraId="4552D9C1" w14:textId="77777777" w:rsidR="00A00A02" w:rsidRPr="00A00A02" w:rsidRDefault="005E6FBB" w:rsidP="00A00A02">
      <w:pPr>
        <w:rPr>
          <w:rFonts w:eastAsia="Calibri" w:cs="Arial"/>
          <w:b/>
          <w:szCs w:val="22"/>
          <w:lang w:eastAsia="en-US"/>
        </w:rPr>
      </w:pPr>
      <w:r>
        <w:rPr>
          <w:rFonts w:eastAsia="Calibri" w:cs="Arial"/>
          <w:b/>
          <w:szCs w:val="22"/>
          <w:lang w:eastAsia="en-US"/>
        </w:rPr>
        <w:t>5</w:t>
      </w:r>
      <w:r w:rsidR="00A00A02">
        <w:rPr>
          <w:rFonts w:eastAsia="Calibri" w:cs="Arial"/>
          <w:b/>
          <w:szCs w:val="22"/>
          <w:lang w:eastAsia="en-US"/>
        </w:rPr>
        <w:t>.3</w:t>
      </w:r>
      <w:r w:rsidR="00A00A02" w:rsidRPr="00A00A02">
        <w:rPr>
          <w:rFonts w:eastAsia="Calibri" w:cs="Arial"/>
          <w:b/>
          <w:szCs w:val="22"/>
          <w:lang w:eastAsia="en-US"/>
        </w:rPr>
        <w:t xml:space="preserve"> </w:t>
      </w:r>
      <w:r w:rsidR="00A00A02">
        <w:rPr>
          <w:rFonts w:eastAsia="Calibri" w:cs="Arial"/>
          <w:b/>
          <w:szCs w:val="22"/>
          <w:lang w:eastAsia="en-US"/>
        </w:rPr>
        <w:tab/>
      </w:r>
      <w:r w:rsidR="00A00A02" w:rsidRPr="00A00A02">
        <w:rPr>
          <w:rFonts w:eastAsia="Calibri" w:cs="Arial"/>
          <w:b/>
          <w:szCs w:val="22"/>
          <w:lang w:eastAsia="en-US"/>
        </w:rPr>
        <w:t>The New 2018 National Procurement Strategy</w:t>
      </w:r>
    </w:p>
    <w:p w14:paraId="4552D9C2" w14:textId="77777777" w:rsidR="00A00A02" w:rsidRPr="00AD4047" w:rsidRDefault="00A00A02" w:rsidP="00A00A02">
      <w:pPr>
        <w:rPr>
          <w:rFonts w:eastAsia="Calibri" w:cs="Arial"/>
          <w:b/>
          <w:sz w:val="16"/>
          <w:szCs w:val="16"/>
          <w:lang w:eastAsia="en-US"/>
        </w:rPr>
      </w:pPr>
    </w:p>
    <w:p w14:paraId="4552D9C3"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 xml:space="preserve">A new 2018 National Procurement Strategy (NPS) was launched in July 2018.  The starting point for 2018 NPS is that councils are already well along the path set out in the previous 2014 NPS.  </w:t>
      </w:r>
    </w:p>
    <w:p w14:paraId="4552D9C4" w14:textId="77777777" w:rsidR="00A00A02" w:rsidRPr="00A00A02" w:rsidRDefault="00A00A02" w:rsidP="00A00A02">
      <w:pPr>
        <w:rPr>
          <w:rFonts w:eastAsia="Calibri" w:cs="Arial"/>
          <w:szCs w:val="22"/>
          <w:lang w:eastAsia="en-US"/>
        </w:rPr>
      </w:pPr>
    </w:p>
    <w:p w14:paraId="4552D9C5"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The 2018 NPS recognises that procurement is not just about compliance or tactical issues (these are a given necessity), but is a key tool in helping deliver corporate priorities and ambitions.  This will require strong and effective leadership with best use of resources through partnership working with all those involved in the procurement and commissioning process, budget holders, suppliers, the wider public sector and other stakeholders.</w:t>
      </w:r>
    </w:p>
    <w:p w14:paraId="4552D9C6" w14:textId="77777777" w:rsidR="00A00A02" w:rsidRPr="00A00A02" w:rsidRDefault="00A00A02" w:rsidP="00A00A02">
      <w:pPr>
        <w:rPr>
          <w:rFonts w:eastAsia="Calibri" w:cs="Arial"/>
          <w:szCs w:val="22"/>
          <w:lang w:eastAsia="en-US"/>
        </w:rPr>
      </w:pPr>
    </w:p>
    <w:p w14:paraId="4552D9C7"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The NPS focuses on the three themes listed below which are broken down further into a number of key areas.</w:t>
      </w:r>
    </w:p>
    <w:p w14:paraId="4552D9C8" w14:textId="77777777" w:rsidR="00A00A02" w:rsidRPr="00AD4047" w:rsidRDefault="00A00A02" w:rsidP="00A00A02">
      <w:pPr>
        <w:rPr>
          <w:rFonts w:eastAsia="Calibri" w:cs="Arial"/>
          <w:sz w:val="16"/>
          <w:szCs w:val="16"/>
          <w:lang w:eastAsia="en-US"/>
        </w:rPr>
      </w:pPr>
    </w:p>
    <w:p w14:paraId="4552D9C9" w14:textId="77777777" w:rsidR="00A00A02" w:rsidRPr="00A00A02" w:rsidRDefault="00A00A02" w:rsidP="00A00A02">
      <w:pPr>
        <w:ind w:firstLine="720"/>
        <w:rPr>
          <w:rFonts w:eastAsia="Calibri" w:cs="Arial"/>
          <w:szCs w:val="22"/>
          <w:lang w:eastAsia="en-US"/>
        </w:rPr>
      </w:pPr>
      <w:r w:rsidRPr="00A00A02">
        <w:rPr>
          <w:rFonts w:eastAsia="Calibri" w:cs="Arial"/>
          <w:szCs w:val="22"/>
          <w:lang w:eastAsia="en-US"/>
        </w:rPr>
        <w:t>• showing leadership</w:t>
      </w:r>
    </w:p>
    <w:p w14:paraId="4552D9CA" w14:textId="77777777" w:rsidR="00A00A02" w:rsidRPr="00A00A02" w:rsidRDefault="00A00A02" w:rsidP="00A00A02">
      <w:pPr>
        <w:ind w:firstLine="720"/>
        <w:rPr>
          <w:rFonts w:eastAsia="Calibri" w:cs="Arial"/>
          <w:szCs w:val="22"/>
          <w:lang w:eastAsia="en-US"/>
        </w:rPr>
      </w:pPr>
      <w:r w:rsidRPr="00A00A02">
        <w:rPr>
          <w:rFonts w:eastAsia="Calibri" w:cs="Arial"/>
          <w:szCs w:val="22"/>
          <w:lang w:eastAsia="en-US"/>
        </w:rPr>
        <w:t>• behaving commercially</w:t>
      </w:r>
    </w:p>
    <w:p w14:paraId="4552D9CB" w14:textId="77777777" w:rsidR="00A00A02" w:rsidRPr="00A00A02" w:rsidRDefault="00A00A02" w:rsidP="00A00A02">
      <w:pPr>
        <w:ind w:firstLine="720"/>
        <w:rPr>
          <w:rFonts w:eastAsia="Calibri" w:cs="Arial"/>
          <w:szCs w:val="22"/>
          <w:lang w:eastAsia="en-US"/>
        </w:rPr>
      </w:pPr>
      <w:r w:rsidRPr="00A00A02">
        <w:rPr>
          <w:rFonts w:eastAsia="Calibri" w:cs="Arial"/>
          <w:szCs w:val="22"/>
          <w:lang w:eastAsia="en-US"/>
        </w:rPr>
        <w:t>• achieving community benefits.</w:t>
      </w:r>
    </w:p>
    <w:p w14:paraId="4552D9CC" w14:textId="77777777" w:rsidR="00A00A02" w:rsidRPr="00A00A02" w:rsidRDefault="00A00A02" w:rsidP="00A00A02">
      <w:pPr>
        <w:rPr>
          <w:rFonts w:eastAsia="Calibri" w:cs="Arial"/>
          <w:szCs w:val="22"/>
          <w:lang w:eastAsia="en-US"/>
        </w:rPr>
      </w:pPr>
    </w:p>
    <w:p w14:paraId="4552D9CD"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 xml:space="preserve">The NPS recognises that “a one size fit’s all” approach is not supported and it’s noted that district councils may, for example, have different objectives than larger Councils and that choices will naturally reflect local priorities and the resources available to the Council. </w:t>
      </w:r>
    </w:p>
    <w:p w14:paraId="4552D9CE" w14:textId="77777777" w:rsidR="00A00A02" w:rsidRPr="00AD4047" w:rsidRDefault="00A00A02" w:rsidP="00A00A02">
      <w:pPr>
        <w:rPr>
          <w:rFonts w:eastAsia="Calibri" w:cs="Arial"/>
          <w:sz w:val="16"/>
          <w:szCs w:val="16"/>
          <w:lang w:eastAsia="en-US"/>
        </w:rPr>
      </w:pPr>
    </w:p>
    <w:p w14:paraId="4552D9CF" w14:textId="77777777" w:rsidR="00AD4047" w:rsidRDefault="005E6FBB" w:rsidP="00A00A02">
      <w:pPr>
        <w:rPr>
          <w:rFonts w:eastAsia="Calibri" w:cs="Arial"/>
          <w:b/>
          <w:sz w:val="16"/>
          <w:szCs w:val="16"/>
          <w:lang w:eastAsia="en-US"/>
        </w:rPr>
      </w:pPr>
      <w:r>
        <w:rPr>
          <w:rFonts w:eastAsia="Calibri" w:cs="Arial"/>
          <w:b/>
          <w:szCs w:val="22"/>
          <w:lang w:eastAsia="en-US"/>
        </w:rPr>
        <w:t>5</w:t>
      </w:r>
      <w:r w:rsidR="00A00A02">
        <w:rPr>
          <w:rFonts w:eastAsia="Calibri" w:cs="Arial"/>
          <w:b/>
          <w:szCs w:val="22"/>
          <w:lang w:eastAsia="en-US"/>
        </w:rPr>
        <w:t>.4</w:t>
      </w:r>
      <w:r w:rsidR="00A00A02" w:rsidRPr="00A00A02">
        <w:rPr>
          <w:rFonts w:eastAsia="Calibri" w:cs="Arial"/>
          <w:b/>
          <w:szCs w:val="22"/>
          <w:lang w:eastAsia="en-US"/>
        </w:rPr>
        <w:t xml:space="preserve">. </w:t>
      </w:r>
      <w:r w:rsidR="00A00A02">
        <w:rPr>
          <w:rFonts w:eastAsia="Calibri" w:cs="Arial"/>
          <w:b/>
          <w:szCs w:val="22"/>
          <w:lang w:eastAsia="en-US"/>
        </w:rPr>
        <w:tab/>
      </w:r>
      <w:r w:rsidR="00A00A02" w:rsidRPr="00A00A02">
        <w:rPr>
          <w:rFonts w:eastAsia="Calibri" w:cs="Arial"/>
          <w:b/>
          <w:szCs w:val="22"/>
          <w:lang w:eastAsia="en-US"/>
        </w:rPr>
        <w:t>Recommendation for a new 3 year Joint Procurement Strategy</w:t>
      </w:r>
    </w:p>
    <w:p w14:paraId="4552D9D0" w14:textId="77777777" w:rsidR="00AD4047" w:rsidRPr="00AD4047" w:rsidRDefault="00AD4047" w:rsidP="00A00A02">
      <w:pPr>
        <w:rPr>
          <w:rFonts w:eastAsia="Calibri" w:cs="Arial"/>
          <w:b/>
          <w:sz w:val="16"/>
          <w:szCs w:val="16"/>
          <w:lang w:eastAsia="en-US"/>
        </w:rPr>
      </w:pPr>
    </w:p>
    <w:p w14:paraId="4552D9D1"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 xml:space="preserve">Councils continue to operate in a very challenging financial environment.  Demands and expectations of local public services is rising, and cost pressures are increasing, yet </w:t>
      </w:r>
      <w:r w:rsidRPr="00A00A02">
        <w:rPr>
          <w:rFonts w:eastAsia="Calibri" w:cs="Arial"/>
          <w:szCs w:val="22"/>
          <w:lang w:eastAsia="en-US"/>
        </w:rPr>
        <w:lastRenderedPageBreak/>
        <w:t>government grant to councils has reduced markedly (by more than 49% in real terms since 2010 according to the National Audit Office).  It is therefore vital that procurement is recognised and used as a key tool to deliver financial sustainability, corporate priorities and ambitions within this challenging environment, whilst supporting the local environment.</w:t>
      </w:r>
    </w:p>
    <w:p w14:paraId="4552D9D2" w14:textId="77777777" w:rsidR="00A00A02" w:rsidRPr="00A00A02" w:rsidRDefault="00A00A02" w:rsidP="00A00A02">
      <w:pPr>
        <w:rPr>
          <w:rFonts w:eastAsia="Calibri" w:cs="Arial"/>
          <w:szCs w:val="22"/>
          <w:lang w:eastAsia="en-US"/>
        </w:rPr>
      </w:pPr>
    </w:p>
    <w:p w14:paraId="4552D9D3"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 xml:space="preserve">A new 3 year Joint Procurement Strategy commencing 1.4.19 is proposed and included at Appendix 3.  The new proposed JPS is presented in a simple, visual format which is easier to read  and has a more immediate impact clearly showing  corporate priorities, joint procurement priorities and clear links to the NPS themes, which are seen as central to successful delivery.  </w:t>
      </w:r>
    </w:p>
    <w:p w14:paraId="4552D9D4" w14:textId="77777777" w:rsidR="00A00A02" w:rsidRPr="00A00A02" w:rsidRDefault="00A00A02" w:rsidP="00A00A02">
      <w:pPr>
        <w:rPr>
          <w:rFonts w:eastAsia="Calibri" w:cs="Arial"/>
          <w:szCs w:val="22"/>
          <w:lang w:eastAsia="en-US"/>
        </w:rPr>
      </w:pPr>
    </w:p>
    <w:p w14:paraId="4552D9D5" w14:textId="77777777" w:rsidR="00A00A02" w:rsidRPr="00A00A02" w:rsidRDefault="00A00A02" w:rsidP="00A00A02">
      <w:pPr>
        <w:spacing w:after="200" w:line="276" w:lineRule="auto"/>
        <w:ind w:firstLine="720"/>
        <w:rPr>
          <w:rFonts w:eastAsia="Calibri" w:cs="Arial"/>
          <w:b/>
          <w:i/>
          <w:szCs w:val="22"/>
          <w:lang w:eastAsia="en-US"/>
        </w:rPr>
      </w:pPr>
      <w:r w:rsidRPr="00A00A02">
        <w:rPr>
          <w:rFonts w:eastAsia="Calibri" w:cs="Arial"/>
          <w:b/>
          <w:i/>
          <w:szCs w:val="22"/>
          <w:lang w:eastAsia="en-US"/>
        </w:rPr>
        <w:t>Proposed Vision:</w:t>
      </w:r>
    </w:p>
    <w:p w14:paraId="4552D9D6" w14:textId="77777777" w:rsidR="00A00A02" w:rsidRPr="00A00A02" w:rsidRDefault="00A00A02" w:rsidP="00A00A02">
      <w:pPr>
        <w:ind w:left="720"/>
        <w:rPr>
          <w:rFonts w:eastAsia="Calibri" w:cs="Arial"/>
          <w:i/>
          <w:szCs w:val="22"/>
          <w:lang w:eastAsia="en-US"/>
        </w:rPr>
      </w:pPr>
      <w:r w:rsidRPr="00A00A02">
        <w:rPr>
          <w:rFonts w:eastAsia="Calibri" w:cs="Arial"/>
          <w:i/>
          <w:szCs w:val="22"/>
          <w:lang w:eastAsia="en-US"/>
        </w:rPr>
        <w:t>Supporting the delivery of quality, cost effective services, and the Councils’ corporate priorities, through strong leadership, innovation, and a strategic, commercially aware approach to modern, best practice and socially responsible, compliant procurement processes.</w:t>
      </w:r>
    </w:p>
    <w:p w14:paraId="4552D9D7" w14:textId="77777777" w:rsidR="00A00A02" w:rsidRPr="008B0FA2" w:rsidRDefault="00A00A02" w:rsidP="00A00A02">
      <w:pPr>
        <w:rPr>
          <w:rFonts w:eastAsia="Calibri" w:cs="Arial"/>
          <w:i/>
          <w:sz w:val="16"/>
          <w:szCs w:val="16"/>
          <w:lang w:eastAsia="en-US"/>
        </w:rPr>
      </w:pPr>
    </w:p>
    <w:p w14:paraId="4552D9D8" w14:textId="77777777" w:rsidR="00A00A02" w:rsidRPr="00A00A02" w:rsidRDefault="00A00A02" w:rsidP="00A00A02">
      <w:pPr>
        <w:ind w:left="720"/>
        <w:rPr>
          <w:rFonts w:eastAsia="Calibri" w:cs="Arial"/>
          <w:szCs w:val="22"/>
          <w:lang w:eastAsia="en-US"/>
        </w:rPr>
      </w:pPr>
      <w:r w:rsidRPr="00A00A02">
        <w:rPr>
          <w:rFonts w:eastAsia="Calibri" w:cs="Arial"/>
          <w:szCs w:val="22"/>
          <w:lang w:eastAsia="en-US"/>
        </w:rPr>
        <w:t xml:space="preserve">The Vision has been updated and the previous four Joint Procurement Priorities have been merged into three, maintaining and building on previous progress, with clear links to the NPS Themes which are shown as central to successful delivery.  </w:t>
      </w:r>
    </w:p>
    <w:p w14:paraId="4552D9D9" w14:textId="77777777" w:rsidR="00A00A02" w:rsidRPr="00792A2B" w:rsidRDefault="00A00A02" w:rsidP="005E6FBB">
      <w:pPr>
        <w:tabs>
          <w:tab w:val="left" w:pos="567"/>
        </w:tabs>
        <w:rPr>
          <w:b/>
          <w:szCs w:val="22"/>
        </w:rPr>
      </w:pPr>
    </w:p>
    <w:p w14:paraId="4552D9DA" w14:textId="77777777" w:rsidR="001938D6" w:rsidRPr="00792A2B" w:rsidRDefault="005E6FBB" w:rsidP="00B71A04">
      <w:pPr>
        <w:tabs>
          <w:tab w:val="left" w:pos="567"/>
        </w:tabs>
        <w:ind w:left="567" w:hanging="567"/>
        <w:rPr>
          <w:b/>
          <w:szCs w:val="22"/>
        </w:rPr>
      </w:pPr>
      <w:r>
        <w:rPr>
          <w:b/>
          <w:szCs w:val="22"/>
        </w:rPr>
        <w:t>6</w:t>
      </w:r>
      <w:r w:rsidR="002F5C5E" w:rsidRPr="00792A2B">
        <w:rPr>
          <w:b/>
          <w:szCs w:val="22"/>
        </w:rPr>
        <w:t xml:space="preserve">. </w:t>
      </w:r>
      <w:r w:rsidR="00B71A04">
        <w:rPr>
          <w:b/>
          <w:szCs w:val="22"/>
        </w:rPr>
        <w:tab/>
      </w:r>
      <w:r w:rsidR="001938D6" w:rsidRPr="00792A2B">
        <w:rPr>
          <w:b/>
          <w:szCs w:val="22"/>
        </w:rPr>
        <w:t xml:space="preserve">CONSULTATION CARRIED OUT AND OUTCOME OF CONSULTATION </w:t>
      </w:r>
    </w:p>
    <w:p w14:paraId="4552D9DB" w14:textId="77777777" w:rsidR="001938D6" w:rsidRPr="00792A2B" w:rsidRDefault="001938D6" w:rsidP="00B71A04">
      <w:pPr>
        <w:tabs>
          <w:tab w:val="left" w:pos="567"/>
        </w:tabs>
        <w:ind w:left="567" w:hanging="567"/>
        <w:rPr>
          <w:b/>
          <w:szCs w:val="22"/>
        </w:rPr>
      </w:pPr>
    </w:p>
    <w:p w14:paraId="4552D9DC" w14:textId="77777777" w:rsidR="001938D6" w:rsidRPr="009620D2" w:rsidRDefault="005E6FBB" w:rsidP="00B71A04">
      <w:pPr>
        <w:tabs>
          <w:tab w:val="left" w:pos="567"/>
        </w:tabs>
        <w:ind w:left="567" w:hanging="567"/>
        <w:rPr>
          <w:rFonts w:cs="Arial"/>
          <w:color w:val="2E74B5"/>
        </w:rPr>
      </w:pPr>
      <w:r>
        <w:rPr>
          <w:b/>
          <w:szCs w:val="22"/>
        </w:rPr>
        <w:t>6</w:t>
      </w:r>
      <w:r w:rsidR="001938D6" w:rsidRPr="00792A2B">
        <w:rPr>
          <w:b/>
          <w:szCs w:val="22"/>
        </w:rPr>
        <w:t>.1</w:t>
      </w:r>
      <w:r w:rsidR="00B71A04">
        <w:rPr>
          <w:b/>
          <w:szCs w:val="22"/>
        </w:rPr>
        <w:tab/>
      </w:r>
      <w:r w:rsidR="009620D2" w:rsidRPr="009620D2">
        <w:rPr>
          <w:rFonts w:cs="Arial"/>
        </w:rPr>
        <w:t xml:space="preserve">It is intended that this report be presented to SRBC Leadership Team and CBC Senior Management Team following SSJC comments. It should be noted that consultation at </w:t>
      </w:r>
      <w:r w:rsidR="009620D2">
        <w:rPr>
          <w:rFonts w:cs="Arial"/>
        </w:rPr>
        <w:t>LT/CMT</w:t>
      </w:r>
      <w:r w:rsidR="009620D2" w:rsidRPr="009620D2">
        <w:rPr>
          <w:rFonts w:cs="Arial"/>
        </w:rPr>
        <w:t xml:space="preserve"> may result in some subsequent minor changes moving forward.</w:t>
      </w:r>
    </w:p>
    <w:p w14:paraId="4552D9DD" w14:textId="77777777" w:rsidR="00F43895" w:rsidRPr="00792A2B" w:rsidRDefault="00F43895" w:rsidP="00B71A04">
      <w:pPr>
        <w:tabs>
          <w:tab w:val="left" w:pos="567"/>
        </w:tabs>
        <w:ind w:left="567" w:hanging="567"/>
        <w:rPr>
          <w:rFonts w:cs="Arial"/>
          <w:i/>
          <w:color w:val="2E74B5"/>
        </w:rPr>
      </w:pPr>
    </w:p>
    <w:p w14:paraId="4552D9DE" w14:textId="77777777" w:rsidR="00F43895" w:rsidRPr="00792A2B" w:rsidRDefault="005E6FBB" w:rsidP="00B71A04">
      <w:pPr>
        <w:tabs>
          <w:tab w:val="left" w:pos="567"/>
        </w:tabs>
        <w:ind w:left="567" w:hanging="567"/>
        <w:rPr>
          <w:b/>
          <w:szCs w:val="22"/>
        </w:rPr>
      </w:pPr>
      <w:r>
        <w:rPr>
          <w:b/>
          <w:szCs w:val="22"/>
        </w:rPr>
        <w:t>7</w:t>
      </w:r>
      <w:r w:rsidR="00B71A04">
        <w:rPr>
          <w:b/>
          <w:szCs w:val="22"/>
        </w:rPr>
        <w:t xml:space="preserve">. </w:t>
      </w:r>
      <w:r w:rsidR="00B71A04">
        <w:rPr>
          <w:b/>
          <w:szCs w:val="22"/>
        </w:rPr>
        <w:tab/>
      </w:r>
      <w:r w:rsidR="00F43895" w:rsidRPr="00792A2B">
        <w:rPr>
          <w:rFonts w:cs="Arial"/>
          <w:b/>
          <w:caps/>
        </w:rPr>
        <w:t>Financial implications</w:t>
      </w:r>
    </w:p>
    <w:p w14:paraId="4552D9DF" w14:textId="77777777" w:rsidR="00F43895" w:rsidRPr="00792A2B" w:rsidRDefault="00F43895" w:rsidP="00B71A04">
      <w:pPr>
        <w:tabs>
          <w:tab w:val="left" w:pos="567"/>
        </w:tabs>
        <w:ind w:left="567" w:hanging="567"/>
        <w:rPr>
          <w:rFonts w:cs="Arial"/>
          <w:b/>
          <w:caps/>
        </w:rPr>
      </w:pPr>
    </w:p>
    <w:p w14:paraId="4552D9E0" w14:textId="77777777" w:rsidR="00F43895" w:rsidRDefault="00A00A02" w:rsidP="00B71A04">
      <w:pPr>
        <w:tabs>
          <w:tab w:val="left" w:pos="567"/>
        </w:tabs>
        <w:ind w:left="567" w:hanging="567"/>
      </w:pPr>
      <w:r>
        <w:tab/>
      </w:r>
      <w:r w:rsidRPr="00A00A02">
        <w:t>Delivery of the Procurement strategy will consider revenue generation opportunities and contribute to the achievement of the Councils’ targets for efficiencies, contributing to financial sustainability.</w:t>
      </w:r>
    </w:p>
    <w:p w14:paraId="4552D9E1" w14:textId="77777777" w:rsidR="00A00A02" w:rsidRPr="00792A2B" w:rsidRDefault="00A00A02" w:rsidP="00B71A04">
      <w:pPr>
        <w:tabs>
          <w:tab w:val="left" w:pos="567"/>
        </w:tabs>
        <w:ind w:left="567" w:hanging="567"/>
        <w:rPr>
          <w:rFonts w:cs="Arial"/>
          <w:b/>
          <w:color w:val="2E74B5"/>
        </w:rPr>
      </w:pPr>
    </w:p>
    <w:p w14:paraId="4552D9E2" w14:textId="77777777" w:rsidR="00F43895" w:rsidRPr="00792A2B" w:rsidRDefault="005E6FBB" w:rsidP="00B71A04">
      <w:pPr>
        <w:tabs>
          <w:tab w:val="left" w:pos="567"/>
        </w:tabs>
        <w:ind w:left="567" w:hanging="567"/>
        <w:rPr>
          <w:rFonts w:cs="Arial"/>
          <w:b/>
          <w:caps/>
        </w:rPr>
      </w:pPr>
      <w:r>
        <w:rPr>
          <w:rFonts w:cs="Arial"/>
          <w:b/>
          <w:caps/>
        </w:rPr>
        <w:t>8</w:t>
      </w:r>
      <w:r w:rsidR="00B71A04">
        <w:rPr>
          <w:rFonts w:cs="Arial"/>
          <w:b/>
          <w:caps/>
        </w:rPr>
        <w:t xml:space="preserve">. </w:t>
      </w:r>
      <w:r w:rsidR="00B71A04">
        <w:rPr>
          <w:rFonts w:cs="Arial"/>
          <w:b/>
          <w:caps/>
        </w:rPr>
        <w:tab/>
      </w:r>
      <w:r w:rsidR="00F43895" w:rsidRPr="00792A2B">
        <w:rPr>
          <w:rFonts w:cs="Arial"/>
          <w:b/>
          <w:caps/>
        </w:rPr>
        <w:t>LEGAL IMPLICATIONS</w:t>
      </w:r>
    </w:p>
    <w:p w14:paraId="4552D9E3" w14:textId="77777777" w:rsidR="00F43895" w:rsidRPr="00792A2B" w:rsidRDefault="00F43895" w:rsidP="00B71A04">
      <w:pPr>
        <w:tabs>
          <w:tab w:val="left" w:pos="567"/>
        </w:tabs>
        <w:ind w:left="567" w:hanging="567"/>
        <w:rPr>
          <w:rFonts w:cs="Arial"/>
          <w:b/>
          <w:caps/>
        </w:rPr>
      </w:pPr>
    </w:p>
    <w:p w14:paraId="4552D9E4" w14:textId="77777777" w:rsidR="00F43895" w:rsidRDefault="000D7845" w:rsidP="00B71A04">
      <w:pPr>
        <w:tabs>
          <w:tab w:val="left" w:pos="567"/>
        </w:tabs>
        <w:ind w:left="567" w:hanging="567"/>
      </w:pPr>
      <w:r>
        <w:tab/>
        <w:t>The procurement activity of both Councils operates within and is compliant with, all relevant legislation.</w:t>
      </w:r>
    </w:p>
    <w:p w14:paraId="4552D9E5" w14:textId="77777777" w:rsidR="000D7845" w:rsidRPr="00792A2B" w:rsidRDefault="000D7845" w:rsidP="00B71A04">
      <w:pPr>
        <w:tabs>
          <w:tab w:val="left" w:pos="567"/>
        </w:tabs>
        <w:ind w:left="567" w:hanging="567"/>
        <w:rPr>
          <w:rFonts w:cs="Arial"/>
          <w:b/>
          <w:caps/>
        </w:rPr>
      </w:pPr>
    </w:p>
    <w:p w14:paraId="4552D9E6" w14:textId="77777777" w:rsidR="00F43895" w:rsidRPr="00792A2B" w:rsidRDefault="005E6FBB" w:rsidP="00B71A04">
      <w:pPr>
        <w:tabs>
          <w:tab w:val="left" w:pos="567"/>
        </w:tabs>
        <w:ind w:left="567" w:hanging="567"/>
        <w:rPr>
          <w:rFonts w:cs="Arial"/>
          <w:b/>
        </w:rPr>
      </w:pPr>
      <w:r>
        <w:rPr>
          <w:rFonts w:cs="Arial"/>
          <w:b/>
        </w:rPr>
        <w:t>9</w:t>
      </w:r>
      <w:r w:rsidR="00B71A04">
        <w:rPr>
          <w:rFonts w:cs="Arial"/>
          <w:b/>
        </w:rPr>
        <w:t>.</w:t>
      </w:r>
      <w:r w:rsidR="00B71A04">
        <w:rPr>
          <w:rFonts w:cs="Arial"/>
          <w:b/>
        </w:rPr>
        <w:tab/>
      </w:r>
      <w:r w:rsidR="00F43895" w:rsidRPr="00792A2B">
        <w:rPr>
          <w:rFonts w:cs="Arial"/>
          <w:b/>
        </w:rPr>
        <w:t>COMMENTS OF THE STATUTORY FINANCE OFFICER</w:t>
      </w:r>
      <w:r w:rsidR="000D7845">
        <w:rPr>
          <w:rFonts w:cs="Arial"/>
          <w:b/>
        </w:rPr>
        <w:t xml:space="preserve"> (CBC)</w:t>
      </w:r>
    </w:p>
    <w:p w14:paraId="4552D9E7" w14:textId="77777777" w:rsidR="00BE2A3F" w:rsidRPr="00792A2B" w:rsidRDefault="00BE2A3F" w:rsidP="00B71A04">
      <w:pPr>
        <w:tabs>
          <w:tab w:val="left" w:pos="567"/>
        </w:tabs>
        <w:ind w:left="567" w:hanging="567"/>
        <w:rPr>
          <w:rFonts w:cs="Arial"/>
          <w:b/>
        </w:rPr>
      </w:pPr>
    </w:p>
    <w:p w14:paraId="4552D9E8" w14:textId="77777777" w:rsidR="00BE2A3F" w:rsidRPr="00792A2B" w:rsidRDefault="005E6FBB" w:rsidP="00B71A04">
      <w:pPr>
        <w:tabs>
          <w:tab w:val="left" w:pos="567"/>
        </w:tabs>
        <w:ind w:left="567" w:hanging="567"/>
        <w:rPr>
          <w:rFonts w:cs="Arial"/>
        </w:rPr>
      </w:pPr>
      <w:r>
        <w:rPr>
          <w:rFonts w:cs="Arial"/>
        </w:rPr>
        <w:t>9</w:t>
      </w:r>
      <w:r w:rsidR="00B71A04">
        <w:rPr>
          <w:rFonts w:cs="Arial"/>
        </w:rPr>
        <w:t>.1</w:t>
      </w:r>
      <w:r w:rsidR="00B71A04">
        <w:rPr>
          <w:rFonts w:cs="Arial"/>
        </w:rPr>
        <w:tab/>
      </w:r>
      <w:r w:rsidR="00555406">
        <w:rPr>
          <w:rFonts w:cs="Arial"/>
        </w:rPr>
        <w:t>Please see comments</w:t>
      </w:r>
      <w:r w:rsidR="000D7845" w:rsidRPr="000D7845">
        <w:rPr>
          <w:rFonts w:cs="Arial"/>
        </w:rPr>
        <w:t xml:space="preserve"> at paragraph </w:t>
      </w:r>
      <w:r w:rsidR="00555406">
        <w:rPr>
          <w:rFonts w:cs="Arial"/>
        </w:rPr>
        <w:t>7</w:t>
      </w:r>
      <w:r w:rsidR="000D7845" w:rsidRPr="000D7845">
        <w:rPr>
          <w:rFonts w:cs="Arial"/>
        </w:rPr>
        <w:t xml:space="preserve"> above</w:t>
      </w:r>
      <w:r w:rsidR="00555406">
        <w:rPr>
          <w:rFonts w:cs="Arial"/>
        </w:rPr>
        <w:t>.</w:t>
      </w:r>
      <w:r w:rsidR="000D7845">
        <w:rPr>
          <w:rFonts w:cs="Arial"/>
        </w:rPr>
        <w:t xml:space="preserve">  </w:t>
      </w:r>
    </w:p>
    <w:p w14:paraId="4552D9E9" w14:textId="77777777" w:rsidR="00F43895" w:rsidRPr="00792A2B" w:rsidRDefault="00F43895" w:rsidP="00B71A04">
      <w:pPr>
        <w:tabs>
          <w:tab w:val="left" w:pos="567"/>
        </w:tabs>
        <w:ind w:left="567" w:hanging="567"/>
        <w:rPr>
          <w:rFonts w:cs="Arial"/>
          <w:b/>
          <w:i/>
        </w:rPr>
      </w:pPr>
    </w:p>
    <w:p w14:paraId="4552D9EA" w14:textId="77777777" w:rsidR="00F43895" w:rsidRDefault="005E6FBB" w:rsidP="00B71A04">
      <w:pPr>
        <w:tabs>
          <w:tab w:val="left" w:pos="567"/>
        </w:tabs>
        <w:ind w:left="567" w:hanging="567"/>
        <w:rPr>
          <w:rFonts w:cs="Arial"/>
          <w:b/>
        </w:rPr>
      </w:pPr>
      <w:r>
        <w:rPr>
          <w:rFonts w:cs="Arial"/>
          <w:b/>
        </w:rPr>
        <w:t>10</w:t>
      </w:r>
      <w:r w:rsidR="00B71A04">
        <w:rPr>
          <w:rFonts w:cs="Arial"/>
          <w:b/>
        </w:rPr>
        <w:t>.</w:t>
      </w:r>
      <w:r w:rsidR="00B71A04">
        <w:rPr>
          <w:rFonts w:cs="Arial"/>
          <w:b/>
        </w:rPr>
        <w:tab/>
      </w:r>
      <w:r w:rsidR="00F43895" w:rsidRPr="00792A2B">
        <w:rPr>
          <w:rFonts w:cs="Arial"/>
          <w:b/>
        </w:rPr>
        <w:t>COMMENTS OF THE MONITORING OFFICER</w:t>
      </w:r>
      <w:r w:rsidR="000D7845">
        <w:rPr>
          <w:rFonts w:cs="Arial"/>
          <w:b/>
        </w:rPr>
        <w:t xml:space="preserve"> (CBC)</w:t>
      </w:r>
    </w:p>
    <w:p w14:paraId="4552D9EB" w14:textId="77777777" w:rsidR="00555406" w:rsidRDefault="00555406" w:rsidP="00B71A04">
      <w:pPr>
        <w:tabs>
          <w:tab w:val="left" w:pos="567"/>
        </w:tabs>
        <w:ind w:left="567" w:hanging="567"/>
        <w:rPr>
          <w:rFonts w:cs="Arial"/>
          <w:b/>
        </w:rPr>
      </w:pPr>
    </w:p>
    <w:p w14:paraId="4552D9EC" w14:textId="77777777" w:rsidR="000D7845" w:rsidRPr="00792A2B" w:rsidRDefault="005E6FBB" w:rsidP="00B71A04">
      <w:pPr>
        <w:tabs>
          <w:tab w:val="left" w:pos="567"/>
        </w:tabs>
        <w:ind w:left="567" w:hanging="567"/>
        <w:rPr>
          <w:rFonts w:cs="Arial"/>
          <w:b/>
        </w:rPr>
      </w:pPr>
      <w:r>
        <w:rPr>
          <w:rFonts w:cs="Arial"/>
          <w:b/>
        </w:rPr>
        <w:t>10</w:t>
      </w:r>
      <w:r w:rsidR="000D7845">
        <w:rPr>
          <w:rFonts w:cs="Arial"/>
          <w:b/>
        </w:rPr>
        <w:t>.1</w:t>
      </w:r>
      <w:r w:rsidR="000D7845">
        <w:rPr>
          <w:rFonts w:cs="Arial"/>
          <w:b/>
        </w:rPr>
        <w:tab/>
      </w:r>
      <w:r w:rsidR="00555406" w:rsidRPr="00555406">
        <w:t>Pl</w:t>
      </w:r>
      <w:r w:rsidR="00555406">
        <w:t>ease see comments at paragraph 8</w:t>
      </w:r>
      <w:r w:rsidR="00555406" w:rsidRPr="00555406">
        <w:t xml:space="preserve"> above.  </w:t>
      </w:r>
      <w:r w:rsidR="000D7845">
        <w:t xml:space="preserve">. </w:t>
      </w:r>
    </w:p>
    <w:p w14:paraId="4552D9ED" w14:textId="77777777" w:rsidR="002F5C5E" w:rsidRPr="00792A2B" w:rsidRDefault="002F5C5E" w:rsidP="002F5C5E">
      <w:pPr>
        <w:rPr>
          <w:b/>
          <w:strike/>
          <w:szCs w:val="22"/>
        </w:rPr>
      </w:pPr>
    </w:p>
    <w:p w14:paraId="4552D9EE" w14:textId="77777777" w:rsidR="000B5251" w:rsidRPr="00792A2B" w:rsidRDefault="005E6FBB" w:rsidP="000B5251">
      <w:pPr>
        <w:rPr>
          <w:b/>
          <w:szCs w:val="22"/>
        </w:rPr>
      </w:pPr>
      <w:r>
        <w:rPr>
          <w:b/>
          <w:szCs w:val="22"/>
        </w:rPr>
        <w:t>11</w:t>
      </w:r>
      <w:r w:rsidR="000B5251" w:rsidRPr="00792A2B">
        <w:rPr>
          <w:b/>
          <w:szCs w:val="22"/>
        </w:rPr>
        <w:t xml:space="preserve">. OTHER IMPLICATIONS: </w:t>
      </w:r>
    </w:p>
    <w:p w14:paraId="4552D9EF" w14:textId="77777777"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14:paraId="4552DA09" w14:textId="77777777" w:rsidTr="00AD4047">
        <w:trPr>
          <w:trHeight w:val="2696"/>
        </w:trPr>
        <w:tc>
          <w:tcPr>
            <w:tcW w:w="3544" w:type="dxa"/>
            <w:shd w:val="clear" w:color="auto" w:fill="auto"/>
          </w:tcPr>
          <w:p w14:paraId="4552D9F0" w14:textId="77777777" w:rsidR="002F5C5E" w:rsidRPr="00792A2B" w:rsidRDefault="002F5C5E" w:rsidP="00AC4A99">
            <w:pPr>
              <w:rPr>
                <w:b/>
                <w:szCs w:val="22"/>
              </w:rPr>
            </w:pPr>
          </w:p>
          <w:p w14:paraId="4552D9F1" w14:textId="77777777" w:rsidR="00A56681" w:rsidRPr="00792A2B" w:rsidRDefault="00A56681" w:rsidP="00A56681">
            <w:pPr>
              <w:numPr>
                <w:ilvl w:val="0"/>
                <w:numId w:val="11"/>
              </w:numPr>
              <w:ind w:left="360"/>
              <w:rPr>
                <w:b/>
                <w:szCs w:val="22"/>
              </w:rPr>
            </w:pPr>
            <w:r w:rsidRPr="00792A2B">
              <w:rPr>
                <w:b/>
                <w:szCs w:val="22"/>
              </w:rPr>
              <w:t xml:space="preserve">HR &amp; Organisational Development </w:t>
            </w:r>
          </w:p>
          <w:p w14:paraId="4552D9F2" w14:textId="77777777" w:rsidR="00A56681" w:rsidRDefault="00A56681" w:rsidP="00A56681">
            <w:pPr>
              <w:ind w:left="360"/>
              <w:rPr>
                <w:b/>
                <w:szCs w:val="22"/>
              </w:rPr>
            </w:pPr>
          </w:p>
          <w:p w14:paraId="4552D9F3" w14:textId="77777777" w:rsidR="004112C4" w:rsidRPr="00792A2B" w:rsidRDefault="004112C4" w:rsidP="00A56681">
            <w:pPr>
              <w:ind w:left="360"/>
              <w:rPr>
                <w:b/>
                <w:szCs w:val="22"/>
              </w:rPr>
            </w:pPr>
          </w:p>
          <w:p w14:paraId="4552D9F4" w14:textId="77777777" w:rsidR="00A56681" w:rsidRPr="00792A2B" w:rsidRDefault="00A56681" w:rsidP="00A56681">
            <w:pPr>
              <w:numPr>
                <w:ilvl w:val="0"/>
                <w:numId w:val="11"/>
              </w:numPr>
              <w:ind w:left="360"/>
              <w:rPr>
                <w:b/>
                <w:szCs w:val="22"/>
              </w:rPr>
            </w:pPr>
            <w:r w:rsidRPr="00792A2B">
              <w:rPr>
                <w:b/>
                <w:szCs w:val="22"/>
              </w:rPr>
              <w:t>ICT / Technology</w:t>
            </w:r>
          </w:p>
          <w:p w14:paraId="4552D9F5" w14:textId="77777777" w:rsidR="002F5C5E" w:rsidRPr="00792A2B" w:rsidRDefault="002F5C5E" w:rsidP="00A56681">
            <w:pPr>
              <w:ind w:left="360"/>
              <w:rPr>
                <w:b/>
                <w:szCs w:val="22"/>
              </w:rPr>
            </w:pPr>
          </w:p>
          <w:p w14:paraId="4552D9F6" w14:textId="77777777" w:rsidR="002F5C5E" w:rsidRPr="00792A2B" w:rsidRDefault="002F5C5E" w:rsidP="0047741D">
            <w:pPr>
              <w:rPr>
                <w:b/>
                <w:szCs w:val="22"/>
              </w:rPr>
            </w:pPr>
          </w:p>
          <w:p w14:paraId="4552D9F7" w14:textId="77777777" w:rsidR="00A56681" w:rsidRPr="00792A2B" w:rsidRDefault="00A56681" w:rsidP="00A56681">
            <w:pPr>
              <w:ind w:left="360"/>
              <w:rPr>
                <w:b/>
                <w:szCs w:val="22"/>
              </w:rPr>
            </w:pPr>
          </w:p>
          <w:p w14:paraId="4552D9F8" w14:textId="77777777" w:rsidR="002F5C5E" w:rsidRPr="00792A2B" w:rsidRDefault="00A56681" w:rsidP="0047741D">
            <w:pPr>
              <w:numPr>
                <w:ilvl w:val="0"/>
                <w:numId w:val="11"/>
              </w:numPr>
              <w:ind w:left="360"/>
              <w:rPr>
                <w:b/>
                <w:szCs w:val="22"/>
              </w:rPr>
            </w:pPr>
            <w:r w:rsidRPr="00792A2B">
              <w:rPr>
                <w:b/>
                <w:szCs w:val="22"/>
              </w:rPr>
              <w:t xml:space="preserve">Risk </w:t>
            </w:r>
          </w:p>
          <w:p w14:paraId="4552D9F9" w14:textId="77777777" w:rsidR="003C36EB" w:rsidRDefault="003C36EB" w:rsidP="0047741D">
            <w:pPr>
              <w:rPr>
                <w:b/>
                <w:szCs w:val="22"/>
              </w:rPr>
            </w:pPr>
          </w:p>
          <w:p w14:paraId="4552D9FA" w14:textId="77777777" w:rsidR="004112C4" w:rsidRDefault="004112C4" w:rsidP="0047741D">
            <w:pPr>
              <w:rPr>
                <w:b/>
                <w:szCs w:val="22"/>
              </w:rPr>
            </w:pPr>
          </w:p>
          <w:p w14:paraId="4552D9FB" w14:textId="77777777" w:rsidR="004112C4" w:rsidRDefault="004112C4" w:rsidP="0047741D">
            <w:pPr>
              <w:rPr>
                <w:b/>
                <w:szCs w:val="22"/>
              </w:rPr>
            </w:pPr>
          </w:p>
          <w:p w14:paraId="4552D9FC" w14:textId="77777777" w:rsidR="004112C4" w:rsidRPr="00792A2B" w:rsidRDefault="004112C4" w:rsidP="0047741D">
            <w:pPr>
              <w:rPr>
                <w:b/>
                <w:szCs w:val="22"/>
              </w:rPr>
            </w:pPr>
          </w:p>
          <w:p w14:paraId="4552D9FD" w14:textId="77777777" w:rsidR="002F5C5E" w:rsidRDefault="00A56681" w:rsidP="00A56681">
            <w:pPr>
              <w:numPr>
                <w:ilvl w:val="0"/>
                <w:numId w:val="11"/>
              </w:numPr>
              <w:ind w:left="360"/>
              <w:rPr>
                <w:b/>
                <w:szCs w:val="22"/>
              </w:rPr>
            </w:pPr>
            <w:r w:rsidRPr="00792A2B">
              <w:rPr>
                <w:b/>
                <w:szCs w:val="22"/>
              </w:rPr>
              <w:t xml:space="preserve">Equality &amp; Diversity </w:t>
            </w:r>
          </w:p>
          <w:p w14:paraId="4552D9FE" w14:textId="77777777" w:rsidR="002F5C5E" w:rsidRPr="00792A2B" w:rsidRDefault="002F5C5E" w:rsidP="004112C4">
            <w:pPr>
              <w:rPr>
                <w:szCs w:val="22"/>
              </w:rPr>
            </w:pPr>
          </w:p>
        </w:tc>
        <w:tc>
          <w:tcPr>
            <w:tcW w:w="6379" w:type="dxa"/>
            <w:shd w:val="clear" w:color="auto" w:fill="auto"/>
          </w:tcPr>
          <w:p w14:paraId="4552D9FF" w14:textId="77777777" w:rsidR="002F5C5E" w:rsidRPr="00792A2B" w:rsidRDefault="002F5C5E" w:rsidP="00AC4A99">
            <w:pPr>
              <w:rPr>
                <w:szCs w:val="22"/>
              </w:rPr>
            </w:pPr>
          </w:p>
          <w:p w14:paraId="4552DA00" w14:textId="77777777" w:rsidR="00F43895" w:rsidRPr="004112C4" w:rsidRDefault="000D7845" w:rsidP="00AC4A99">
            <w:pPr>
              <w:rPr>
                <w:szCs w:val="22"/>
              </w:rPr>
            </w:pPr>
            <w:r w:rsidRPr="004112C4">
              <w:rPr>
                <w:szCs w:val="22"/>
              </w:rPr>
              <w:t>The refreshed procurement strategy will benefit and develop staff through the development and delivery of new procurement training on the Council’s e-learning platform</w:t>
            </w:r>
          </w:p>
          <w:p w14:paraId="4552DA01" w14:textId="77777777" w:rsidR="00F43895" w:rsidRPr="00AD4047" w:rsidRDefault="00F43895" w:rsidP="00AC4A99">
            <w:pPr>
              <w:rPr>
                <w:sz w:val="16"/>
                <w:szCs w:val="16"/>
              </w:rPr>
            </w:pPr>
          </w:p>
          <w:p w14:paraId="4552DA02" w14:textId="77777777" w:rsidR="004112C4" w:rsidRPr="004112C4" w:rsidRDefault="00AD4047" w:rsidP="00AC4A99">
            <w:pPr>
              <w:rPr>
                <w:szCs w:val="22"/>
              </w:rPr>
            </w:pPr>
            <w:r>
              <w:rPr>
                <w:szCs w:val="22"/>
              </w:rPr>
              <w:t>Both Councils</w:t>
            </w:r>
            <w:r w:rsidR="004112C4" w:rsidRPr="004112C4">
              <w:rPr>
                <w:szCs w:val="22"/>
              </w:rPr>
              <w:t xml:space="preserve"> will continue to use</w:t>
            </w:r>
            <w:r w:rsidR="004112C4">
              <w:rPr>
                <w:szCs w:val="22"/>
              </w:rPr>
              <w:t xml:space="preserve"> and develop</w:t>
            </w:r>
            <w:r w:rsidR="004112C4" w:rsidRPr="004112C4">
              <w:rPr>
                <w:szCs w:val="22"/>
              </w:rPr>
              <w:t xml:space="preserve"> e-procurement solutions</w:t>
            </w:r>
            <w:r w:rsidR="004112C4">
              <w:rPr>
                <w:szCs w:val="22"/>
              </w:rPr>
              <w:t xml:space="preserve"> as appropriate/</w:t>
            </w:r>
          </w:p>
          <w:p w14:paraId="4552DA03" w14:textId="77777777" w:rsidR="00A56681" w:rsidRPr="00AD4047" w:rsidRDefault="00A56681" w:rsidP="00AC4A99">
            <w:pPr>
              <w:rPr>
                <w:i/>
                <w:color w:val="2E74B5"/>
                <w:sz w:val="16"/>
                <w:szCs w:val="16"/>
              </w:rPr>
            </w:pPr>
          </w:p>
          <w:p w14:paraId="4552DA04" w14:textId="77777777" w:rsidR="004112C4" w:rsidRDefault="004112C4" w:rsidP="004112C4">
            <w:r>
              <w:t xml:space="preserve">Management of risk is vital in any procurement project. </w:t>
            </w:r>
          </w:p>
          <w:p w14:paraId="4552DA05" w14:textId="77777777" w:rsidR="00F43895" w:rsidRDefault="004112C4" w:rsidP="004112C4">
            <w:r>
              <w:t xml:space="preserve">Delivery of the procurement strategy requires effective management of strategic risk and proactive engagement with strategic suppliers </w:t>
            </w:r>
            <w:r w:rsidRPr="006856E9">
              <w:t xml:space="preserve">to </w:t>
            </w:r>
            <w:r>
              <w:t xml:space="preserve">mitigate risk, </w:t>
            </w:r>
            <w:r w:rsidRPr="006856E9">
              <w:t>improve performance, reduce cost, and harness innovation</w:t>
            </w:r>
            <w:r>
              <w:t>.</w:t>
            </w:r>
          </w:p>
          <w:p w14:paraId="4552DA06" w14:textId="77777777" w:rsidR="004112C4" w:rsidRPr="00AD4047" w:rsidRDefault="004112C4" w:rsidP="004112C4">
            <w:pPr>
              <w:rPr>
                <w:sz w:val="16"/>
                <w:szCs w:val="16"/>
              </w:rPr>
            </w:pPr>
          </w:p>
          <w:p w14:paraId="4552DA07" w14:textId="77777777" w:rsidR="004112C4" w:rsidRPr="00792A2B" w:rsidRDefault="004112C4" w:rsidP="004112C4">
            <w:pPr>
              <w:rPr>
                <w:i/>
                <w:color w:val="2E74B5"/>
                <w:szCs w:val="22"/>
              </w:rPr>
            </w:pPr>
            <w:r>
              <w:t>Equality &amp; Diversity is considered and taken account of in the Councils’ procurement processes and template documents</w:t>
            </w:r>
          </w:p>
          <w:p w14:paraId="4552DA08" w14:textId="77777777" w:rsidR="00F43895" w:rsidRPr="00F43895" w:rsidRDefault="00F43895" w:rsidP="00AC4A99">
            <w:pPr>
              <w:rPr>
                <w:i/>
                <w:color w:val="2E74B5" w:themeColor="accent1" w:themeShade="BF"/>
                <w:szCs w:val="22"/>
              </w:rPr>
            </w:pPr>
          </w:p>
        </w:tc>
      </w:tr>
    </w:tbl>
    <w:p w14:paraId="4552DA0A" w14:textId="77777777" w:rsidR="00B71A04" w:rsidRDefault="00B71A04" w:rsidP="002F5C5E">
      <w:pPr>
        <w:rPr>
          <w:b/>
          <w:szCs w:val="22"/>
        </w:rPr>
      </w:pPr>
    </w:p>
    <w:p w14:paraId="4552DA0B" w14:textId="77777777" w:rsidR="004112C4" w:rsidRDefault="005E6FBB" w:rsidP="00B71A04">
      <w:pPr>
        <w:tabs>
          <w:tab w:val="left" w:pos="567"/>
        </w:tabs>
        <w:rPr>
          <w:b/>
          <w:szCs w:val="22"/>
        </w:rPr>
      </w:pPr>
      <w:r>
        <w:rPr>
          <w:b/>
          <w:szCs w:val="22"/>
        </w:rPr>
        <w:t>12</w:t>
      </w:r>
      <w:r w:rsidR="000B5251">
        <w:rPr>
          <w:b/>
          <w:szCs w:val="22"/>
        </w:rPr>
        <w:t xml:space="preserve">. </w:t>
      </w:r>
      <w:r w:rsidR="00B71A04">
        <w:rPr>
          <w:b/>
          <w:szCs w:val="22"/>
        </w:rPr>
        <w:tab/>
      </w:r>
      <w:r w:rsidR="004112C4">
        <w:rPr>
          <w:b/>
          <w:szCs w:val="22"/>
        </w:rPr>
        <w:t xml:space="preserve">BACKGROUND DOCUMENTS </w:t>
      </w:r>
    </w:p>
    <w:p w14:paraId="4552DA0C" w14:textId="77777777" w:rsidR="005E6FBB" w:rsidRDefault="005E6FBB" w:rsidP="00B71A04">
      <w:pPr>
        <w:tabs>
          <w:tab w:val="left" w:pos="567"/>
        </w:tabs>
        <w:rPr>
          <w:szCs w:val="22"/>
        </w:rPr>
      </w:pPr>
    </w:p>
    <w:p w14:paraId="4552DA0D" w14:textId="77777777" w:rsidR="000B5251" w:rsidRPr="005E6FBB" w:rsidRDefault="005E6FBB" w:rsidP="00B71A04">
      <w:pPr>
        <w:tabs>
          <w:tab w:val="left" w:pos="567"/>
        </w:tabs>
        <w:rPr>
          <w:szCs w:val="22"/>
        </w:rPr>
      </w:pPr>
      <w:r w:rsidRPr="005E6FBB">
        <w:rPr>
          <w:szCs w:val="22"/>
        </w:rPr>
        <w:t>There are no background documents to this report</w:t>
      </w:r>
    </w:p>
    <w:p w14:paraId="4552DA0E" w14:textId="77777777" w:rsidR="000B5251" w:rsidRDefault="000B5251" w:rsidP="00B71A04">
      <w:pPr>
        <w:tabs>
          <w:tab w:val="left" w:pos="567"/>
        </w:tabs>
        <w:rPr>
          <w:i/>
          <w:color w:val="0070C0"/>
          <w:szCs w:val="22"/>
        </w:rPr>
      </w:pPr>
    </w:p>
    <w:p w14:paraId="4552DA0F" w14:textId="77777777" w:rsidR="000B5251" w:rsidRDefault="000B5251" w:rsidP="00B71A04">
      <w:pPr>
        <w:tabs>
          <w:tab w:val="left" w:pos="567"/>
        </w:tabs>
        <w:rPr>
          <w:b/>
        </w:rPr>
      </w:pPr>
      <w:r w:rsidRPr="00792A2B">
        <w:rPr>
          <w:b/>
        </w:rPr>
        <w:t>1</w:t>
      </w:r>
      <w:r w:rsidR="005E6FBB">
        <w:rPr>
          <w:b/>
        </w:rPr>
        <w:t>3</w:t>
      </w:r>
      <w:r w:rsidRPr="00792A2B">
        <w:rPr>
          <w:b/>
        </w:rPr>
        <w:t xml:space="preserve">. </w:t>
      </w:r>
      <w:r w:rsidR="00B71A04">
        <w:rPr>
          <w:b/>
        </w:rPr>
        <w:tab/>
      </w:r>
      <w:r w:rsidRPr="00792A2B">
        <w:rPr>
          <w:b/>
        </w:rPr>
        <w:t xml:space="preserve">APPENDICES </w:t>
      </w:r>
    </w:p>
    <w:p w14:paraId="4552DA10" w14:textId="77777777" w:rsidR="000B5251" w:rsidRDefault="000B5251" w:rsidP="00B71A04">
      <w:pPr>
        <w:tabs>
          <w:tab w:val="left" w:pos="567"/>
        </w:tabs>
        <w:rPr>
          <w:b/>
        </w:rPr>
      </w:pPr>
    </w:p>
    <w:p w14:paraId="4552DA11" w14:textId="77777777" w:rsidR="004112C4" w:rsidRPr="004112C4" w:rsidRDefault="004112C4" w:rsidP="004112C4">
      <w:pPr>
        <w:tabs>
          <w:tab w:val="left" w:pos="567"/>
          <w:tab w:val="left" w:pos="2839"/>
        </w:tabs>
        <w:rPr>
          <w:rFonts w:cs="Arial"/>
        </w:rPr>
      </w:pPr>
      <w:r w:rsidRPr="004112C4">
        <w:rPr>
          <w:rFonts w:cs="Arial"/>
        </w:rPr>
        <w:t>Appendix 1 – Performance against 2015-2018 Joint Procurement Strategy</w:t>
      </w:r>
    </w:p>
    <w:p w14:paraId="4552DA12" w14:textId="77777777" w:rsidR="004112C4" w:rsidRPr="004112C4" w:rsidRDefault="004112C4" w:rsidP="004112C4">
      <w:pPr>
        <w:tabs>
          <w:tab w:val="left" w:pos="567"/>
          <w:tab w:val="left" w:pos="2839"/>
        </w:tabs>
        <w:rPr>
          <w:rFonts w:cs="Arial"/>
        </w:rPr>
      </w:pPr>
      <w:r w:rsidRPr="004112C4">
        <w:rPr>
          <w:rFonts w:cs="Arial"/>
        </w:rPr>
        <w:t>Appendix 2 – 2015 -2018 Joint Procurement Strategy</w:t>
      </w:r>
    </w:p>
    <w:p w14:paraId="4552DA13" w14:textId="77777777" w:rsidR="001C5E49" w:rsidRPr="004112C4" w:rsidRDefault="004112C4" w:rsidP="004112C4">
      <w:pPr>
        <w:tabs>
          <w:tab w:val="left" w:pos="567"/>
          <w:tab w:val="left" w:pos="2839"/>
        </w:tabs>
        <w:rPr>
          <w:b/>
          <w:szCs w:val="22"/>
        </w:rPr>
      </w:pPr>
      <w:r w:rsidRPr="004112C4">
        <w:rPr>
          <w:rFonts w:cs="Arial"/>
        </w:rPr>
        <w:t>Appendix 3 – Proposed Refreshed Joint Procurement Strategy</w:t>
      </w:r>
    </w:p>
    <w:p w14:paraId="4552DA14" w14:textId="77777777" w:rsidR="001C5E49" w:rsidRDefault="001C5E49" w:rsidP="001C5E49">
      <w:pPr>
        <w:tabs>
          <w:tab w:val="left" w:pos="2839"/>
        </w:tabs>
        <w:ind w:left="426" w:hanging="426"/>
        <w:rPr>
          <w:rFonts w:cs="Arial"/>
          <w:color w:val="0070C0"/>
        </w:rPr>
      </w:pPr>
    </w:p>
    <w:p w14:paraId="4552DA15" w14:textId="77777777" w:rsidR="008B0FA2" w:rsidRDefault="008B0FA2" w:rsidP="001C5E49">
      <w:pPr>
        <w:tabs>
          <w:tab w:val="left" w:pos="2839"/>
        </w:tabs>
        <w:ind w:left="426" w:hanging="426"/>
        <w:rPr>
          <w:rFonts w:cs="Arial"/>
          <w:color w:val="0070C0"/>
        </w:rPr>
      </w:pPr>
    </w:p>
    <w:p w14:paraId="4552DA16" w14:textId="77777777" w:rsidR="008B0FA2" w:rsidRDefault="005E6FBB" w:rsidP="008B0FA2">
      <w:pPr>
        <w:tabs>
          <w:tab w:val="left" w:pos="2839"/>
        </w:tabs>
        <w:ind w:left="426" w:hanging="426"/>
        <w:rPr>
          <w:rFonts w:cs="Arial"/>
        </w:rPr>
      </w:pPr>
      <w:r w:rsidRPr="005E6FBB">
        <w:rPr>
          <w:rFonts w:cs="Arial"/>
        </w:rPr>
        <w:t>G</w:t>
      </w:r>
      <w:r w:rsidR="008B0FA2">
        <w:rPr>
          <w:rFonts w:cs="Arial"/>
        </w:rPr>
        <w:t xml:space="preserve">ary Hall, </w:t>
      </w:r>
      <w:r w:rsidRPr="005E6FBB">
        <w:rPr>
          <w:rFonts w:cs="Arial"/>
        </w:rPr>
        <w:t xml:space="preserve">Chief Executive CBC </w:t>
      </w:r>
    </w:p>
    <w:p w14:paraId="4552DA17" w14:textId="77777777" w:rsidR="001C5E49" w:rsidRDefault="008B0FA2" w:rsidP="008B0FA2">
      <w:pPr>
        <w:tabs>
          <w:tab w:val="left" w:pos="2839"/>
        </w:tabs>
        <w:ind w:left="426" w:hanging="426"/>
        <w:rPr>
          <w:rFonts w:cs="Arial"/>
        </w:rPr>
      </w:pPr>
      <w:r w:rsidRPr="008B0FA2">
        <w:rPr>
          <w:rFonts w:cs="Arial"/>
        </w:rPr>
        <w:t>Tim Povall</w:t>
      </w:r>
      <w:r>
        <w:rPr>
          <w:rFonts w:cs="Arial"/>
        </w:rPr>
        <w:t xml:space="preserve">, </w:t>
      </w:r>
      <w:r w:rsidR="005E6FBB" w:rsidRPr="005E6FBB">
        <w:rPr>
          <w:rFonts w:cs="Arial"/>
        </w:rPr>
        <w:t>Deputy Chief Executive – Resources &amp; Transformation (Section 151 Officer)</w:t>
      </w:r>
      <w:r w:rsidR="005E6FBB">
        <w:rPr>
          <w:rFonts w:cs="Arial"/>
        </w:rPr>
        <w:t xml:space="preserve"> </w:t>
      </w:r>
      <w:r w:rsidR="005E6FBB" w:rsidRPr="005E6FBB">
        <w:rPr>
          <w:rFonts w:cs="Arial"/>
        </w:rPr>
        <w:t xml:space="preserve">SRBC </w:t>
      </w:r>
      <w:r w:rsidR="005E6FBB">
        <w:rPr>
          <w:rFonts w:cs="Arial"/>
        </w:rPr>
        <w:t xml:space="preserve">   </w:t>
      </w:r>
    </w:p>
    <w:p w14:paraId="4552DA18" w14:textId="77777777" w:rsidR="00555406" w:rsidRDefault="00555406" w:rsidP="001C5E49">
      <w:pPr>
        <w:tabs>
          <w:tab w:val="left" w:pos="2839"/>
        </w:tabs>
        <w:ind w:left="426" w:hanging="426"/>
        <w:rPr>
          <w:rFonts w:cs="Arial"/>
        </w:rPr>
      </w:pPr>
    </w:p>
    <w:p w14:paraId="4552DA19" w14:textId="77777777" w:rsidR="00555406" w:rsidRPr="005E6FBB" w:rsidRDefault="00555406"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559"/>
        <w:gridCol w:w="2380"/>
      </w:tblGrid>
      <w:tr w:rsidR="001C5E49" w14:paraId="4552DA1D" w14:textId="77777777" w:rsidTr="00E2196F">
        <w:tc>
          <w:tcPr>
            <w:tcW w:w="5700" w:type="dxa"/>
            <w:shd w:val="clear" w:color="auto" w:fill="auto"/>
          </w:tcPr>
          <w:p w14:paraId="4552DA1A" w14:textId="77777777" w:rsidR="001C5E49" w:rsidRPr="0031059E" w:rsidRDefault="001C5E49" w:rsidP="00E2196F">
            <w:pPr>
              <w:rPr>
                <w:rFonts w:cs="Arial"/>
              </w:rPr>
            </w:pPr>
            <w:r w:rsidRPr="0031059E">
              <w:rPr>
                <w:rFonts w:cs="Arial"/>
              </w:rPr>
              <w:t>Report Author:</w:t>
            </w:r>
          </w:p>
        </w:tc>
        <w:tc>
          <w:tcPr>
            <w:tcW w:w="1559" w:type="dxa"/>
            <w:shd w:val="clear" w:color="auto" w:fill="auto"/>
          </w:tcPr>
          <w:p w14:paraId="4552DA1B" w14:textId="77777777" w:rsidR="001C5E49" w:rsidRPr="0031059E" w:rsidRDefault="001C5E49" w:rsidP="00E2196F">
            <w:pPr>
              <w:rPr>
                <w:rFonts w:cs="Arial"/>
              </w:rPr>
            </w:pPr>
            <w:r w:rsidRPr="0031059E">
              <w:rPr>
                <w:rFonts w:cs="Arial"/>
              </w:rPr>
              <w:t>Telephone:</w:t>
            </w:r>
          </w:p>
        </w:tc>
        <w:tc>
          <w:tcPr>
            <w:tcW w:w="2380" w:type="dxa"/>
            <w:shd w:val="clear" w:color="auto" w:fill="auto"/>
          </w:tcPr>
          <w:p w14:paraId="4552DA1C" w14:textId="77777777" w:rsidR="001C5E49" w:rsidRPr="0031059E" w:rsidRDefault="001C5E49" w:rsidP="00E2196F">
            <w:pPr>
              <w:rPr>
                <w:rFonts w:cs="Arial"/>
              </w:rPr>
            </w:pPr>
            <w:r w:rsidRPr="0031059E">
              <w:rPr>
                <w:rFonts w:cs="Arial"/>
              </w:rPr>
              <w:t>Date:</w:t>
            </w:r>
          </w:p>
        </w:tc>
      </w:tr>
      <w:tr w:rsidR="00C903AC" w14:paraId="4552DA22" w14:textId="77777777" w:rsidTr="00E2196F">
        <w:tc>
          <w:tcPr>
            <w:tcW w:w="5700" w:type="dxa"/>
            <w:shd w:val="clear" w:color="auto" w:fill="auto"/>
          </w:tcPr>
          <w:p w14:paraId="4552DA1E" w14:textId="77777777" w:rsidR="00C903AC" w:rsidRPr="004112C4" w:rsidRDefault="004112C4" w:rsidP="00C903AC">
            <w:pPr>
              <w:rPr>
                <w:rFonts w:cs="Arial"/>
              </w:rPr>
            </w:pPr>
            <w:r w:rsidRPr="004112C4">
              <w:rPr>
                <w:rFonts w:cs="Arial"/>
              </w:rPr>
              <w:t>Janet Hinds</w:t>
            </w:r>
          </w:p>
          <w:p w14:paraId="4552DA1F" w14:textId="77777777" w:rsidR="00C903AC" w:rsidRPr="0031059E" w:rsidRDefault="00C903AC" w:rsidP="00C903AC">
            <w:pPr>
              <w:ind w:left="-539" w:firstLine="539"/>
              <w:rPr>
                <w:rFonts w:cs="Arial"/>
              </w:rPr>
            </w:pPr>
          </w:p>
        </w:tc>
        <w:tc>
          <w:tcPr>
            <w:tcW w:w="1559" w:type="dxa"/>
            <w:shd w:val="clear" w:color="auto" w:fill="auto"/>
          </w:tcPr>
          <w:p w14:paraId="4552DA20" w14:textId="77777777" w:rsidR="00C903AC" w:rsidRPr="0031059E" w:rsidRDefault="004112C4" w:rsidP="00C903AC">
            <w:pPr>
              <w:rPr>
                <w:rFonts w:cs="Arial"/>
              </w:rPr>
            </w:pPr>
            <w:r>
              <w:rPr>
                <w:rFonts w:cs="Arial"/>
              </w:rPr>
              <w:t>01257 515622</w:t>
            </w:r>
          </w:p>
        </w:tc>
        <w:tc>
          <w:tcPr>
            <w:tcW w:w="2380" w:type="dxa"/>
            <w:shd w:val="clear" w:color="auto" w:fill="auto"/>
          </w:tcPr>
          <w:p w14:paraId="4552DA21" w14:textId="77777777" w:rsidR="00C903AC" w:rsidRPr="0031059E" w:rsidRDefault="004112C4" w:rsidP="00C903AC">
            <w:pPr>
              <w:rPr>
                <w:rFonts w:cs="Arial"/>
              </w:rPr>
            </w:pPr>
            <w:r>
              <w:rPr>
                <w:rFonts w:cs="Arial"/>
              </w:rPr>
              <w:t>30.1.19</w:t>
            </w:r>
          </w:p>
        </w:tc>
      </w:tr>
    </w:tbl>
    <w:p w14:paraId="4552DA23" w14:textId="77777777" w:rsidR="005E6FBB" w:rsidRDefault="005E6FBB" w:rsidP="001C5E49">
      <w:pPr>
        <w:tabs>
          <w:tab w:val="left" w:pos="2839"/>
        </w:tabs>
        <w:rPr>
          <w:rFonts w:cs="Arial"/>
        </w:rPr>
      </w:pPr>
    </w:p>
    <w:p w14:paraId="4552DA24" w14:textId="77777777" w:rsidR="005E6FBB" w:rsidRDefault="005E6FBB">
      <w:pPr>
        <w:rPr>
          <w:rFonts w:cs="Arial"/>
        </w:rPr>
      </w:pPr>
      <w:r>
        <w:rPr>
          <w:rFonts w:cs="Arial"/>
        </w:rPr>
        <w:br w:type="page"/>
      </w:r>
    </w:p>
    <w:p w14:paraId="4552DA25" w14:textId="77777777" w:rsidR="005E6FBB" w:rsidRDefault="005E6FBB" w:rsidP="005E6FBB">
      <w:pPr>
        <w:spacing w:after="200" w:line="276" w:lineRule="auto"/>
        <w:rPr>
          <w:rFonts w:ascii="Calibri" w:eastAsia="Calibri" w:hAnsi="Calibri"/>
          <w:b/>
          <w:sz w:val="28"/>
          <w:szCs w:val="28"/>
          <w:lang w:eastAsia="en-US"/>
        </w:rPr>
      </w:pPr>
      <w:r>
        <w:rPr>
          <w:rFonts w:ascii="Calibri" w:eastAsia="Calibri" w:hAnsi="Calibri"/>
          <w:b/>
          <w:sz w:val="28"/>
          <w:szCs w:val="28"/>
          <w:lang w:eastAsia="en-US"/>
        </w:rPr>
        <w:lastRenderedPageBreak/>
        <w:t>Appendix 1:  Performance against 2015-2018 Joint Procurement Strategy</w:t>
      </w:r>
    </w:p>
    <w:p w14:paraId="4552DA26" w14:textId="77777777" w:rsidR="005E6FBB" w:rsidRDefault="005E6FBB" w:rsidP="005E6FBB">
      <w:pPr>
        <w:rPr>
          <w:rFonts w:ascii="Tahoma" w:hAnsi="Tahoma" w:cs="Arial"/>
          <w:b/>
          <w:bCs/>
          <w:color w:val="000080"/>
          <w:sz w:val="24"/>
          <w:szCs w:val="24"/>
        </w:rPr>
      </w:pPr>
      <w:r>
        <w:rPr>
          <w:rFonts w:ascii="Tahoma" w:hAnsi="Tahoma" w:cs="Arial"/>
          <w:b/>
          <w:bCs/>
          <w:color w:val="000080"/>
          <w:sz w:val="24"/>
          <w:szCs w:val="24"/>
        </w:rPr>
        <w:t>Procurement that is effectively managed and monitored complying with relevant rules both internal and external</w:t>
      </w:r>
    </w:p>
    <w:p w14:paraId="4552DA27" w14:textId="77777777" w:rsidR="005E6FBB" w:rsidRDefault="005E6FBB" w:rsidP="005E6FBB">
      <w:pPr>
        <w:tabs>
          <w:tab w:val="left" w:pos="6045"/>
        </w:tabs>
        <w:rPr>
          <w:rFonts w:ascii="Tahoma" w:hAnsi="Tahoma" w:cs="Arial"/>
          <w:b/>
          <w:bCs/>
          <w:color w:val="000080"/>
          <w:sz w:val="24"/>
          <w:szCs w:val="24"/>
        </w:rPr>
      </w:pPr>
      <w:r>
        <w:rPr>
          <w:rFonts w:ascii="Tahoma" w:hAnsi="Tahoma" w:cs="Arial"/>
          <w:b/>
          <w:bCs/>
          <w:color w:val="000080"/>
          <w:sz w:val="24"/>
          <w:szCs w:val="24"/>
        </w:rPr>
        <w:tab/>
      </w:r>
    </w:p>
    <w:tbl>
      <w:tblPr>
        <w:tblW w:w="5054" w:type="pct"/>
        <w:tblCellMar>
          <w:left w:w="0" w:type="dxa"/>
          <w:right w:w="0" w:type="dxa"/>
        </w:tblCellMar>
        <w:tblLook w:val="04A0" w:firstRow="1" w:lastRow="0" w:firstColumn="1" w:lastColumn="0" w:noHBand="0" w:noVBand="1"/>
      </w:tblPr>
      <w:tblGrid>
        <w:gridCol w:w="9962"/>
      </w:tblGrid>
      <w:tr w:rsidR="005E6FBB" w14:paraId="4552DA29"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0080C0"/>
            <w:tcMar>
              <w:top w:w="109" w:type="dxa"/>
              <w:left w:w="109" w:type="dxa"/>
              <w:bottom w:w="109" w:type="dxa"/>
              <w:right w:w="109" w:type="dxa"/>
            </w:tcMar>
            <w:vAlign w:val="bottom"/>
            <w:hideMark/>
          </w:tcPr>
          <w:p w14:paraId="4552DA28" w14:textId="77777777" w:rsidR="005E6FBB" w:rsidRDefault="005E6FBB" w:rsidP="00217675">
            <w:pPr>
              <w:spacing w:before="100" w:beforeAutospacing="1" w:after="100" w:afterAutospacing="1"/>
              <w:jc w:val="both"/>
              <w:rPr>
                <w:rFonts w:cs="Arial"/>
                <w:b/>
                <w:bCs/>
                <w:color w:val="FFFFFF"/>
                <w:sz w:val="20"/>
              </w:rPr>
            </w:pPr>
            <w:r>
              <w:rPr>
                <w:rFonts w:cs="Arial"/>
                <w:b/>
                <w:bCs/>
                <w:color w:val="FFFFFF"/>
                <w:sz w:val="20"/>
              </w:rPr>
              <w:t>Our Priority Objectives</w:t>
            </w:r>
          </w:p>
        </w:tc>
      </w:tr>
      <w:tr w:rsidR="005E6FBB" w14:paraId="4552DA2B"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4552DA2A" w14:textId="77777777" w:rsidR="005E6FBB" w:rsidRDefault="005E6FBB" w:rsidP="005E6FBB">
            <w:pPr>
              <w:numPr>
                <w:ilvl w:val="0"/>
                <w:numId w:val="19"/>
              </w:numPr>
              <w:spacing w:after="200" w:line="276" w:lineRule="auto"/>
              <w:ind w:left="329"/>
              <w:rPr>
                <w:rFonts w:eastAsia="Calibri" w:cs="Arial"/>
                <w:sz w:val="20"/>
                <w:lang w:eastAsia="en-US"/>
              </w:rPr>
            </w:pPr>
            <w:r>
              <w:rPr>
                <w:rFonts w:eastAsia="Calibri" w:cs="Arial"/>
                <w:sz w:val="20"/>
                <w:lang w:eastAsia="en-US"/>
              </w:rPr>
              <w:t>To ensure that governance arrangements set for the procurement partnership are effectively met and the commitments set out in the SLA are delivered.</w:t>
            </w:r>
          </w:p>
        </w:tc>
      </w:tr>
      <w:tr w:rsidR="005E6FBB" w14:paraId="4552DA2D" w14:textId="77777777" w:rsidTr="00217675">
        <w:trPr>
          <w:trHeight w:val="530"/>
        </w:trPr>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4552DA2C" w14:textId="77777777" w:rsidR="005E6FBB" w:rsidRDefault="005E6FBB" w:rsidP="005E6FBB">
            <w:pPr>
              <w:numPr>
                <w:ilvl w:val="0"/>
                <w:numId w:val="19"/>
              </w:numPr>
              <w:spacing w:after="200" w:line="276" w:lineRule="auto"/>
              <w:ind w:left="284" w:hanging="284"/>
              <w:contextualSpacing/>
              <w:rPr>
                <w:rFonts w:eastAsia="Calibri" w:cs="Arial"/>
                <w:sz w:val="20"/>
                <w:lang w:eastAsia="en-US"/>
              </w:rPr>
            </w:pPr>
            <w:r>
              <w:rPr>
                <w:rFonts w:eastAsia="Calibri" w:cs="Arial"/>
                <w:sz w:val="20"/>
                <w:lang w:eastAsia="en-US"/>
              </w:rPr>
              <w:t>To ensure that all procurement is in accordance with EU rules, the Council’s Contract Procedure Rules and best practice procurement</w:t>
            </w:r>
          </w:p>
        </w:tc>
      </w:tr>
      <w:tr w:rsidR="005E6FBB" w14:paraId="4552DA2F"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4552DA2E" w14:textId="77777777" w:rsidR="005E6FBB" w:rsidRDefault="005E6FBB" w:rsidP="005E6FBB">
            <w:pPr>
              <w:numPr>
                <w:ilvl w:val="0"/>
                <w:numId w:val="19"/>
              </w:numPr>
              <w:spacing w:after="200" w:line="276" w:lineRule="auto"/>
              <w:ind w:left="284" w:hanging="284"/>
              <w:rPr>
                <w:rFonts w:eastAsia="Calibri" w:cs="Arial"/>
                <w:sz w:val="20"/>
                <w:lang w:eastAsia="en-US"/>
              </w:rPr>
            </w:pPr>
            <w:r>
              <w:rPr>
                <w:rFonts w:eastAsia="Calibri" w:cs="Arial"/>
                <w:sz w:val="20"/>
                <w:lang w:eastAsia="en-US"/>
              </w:rPr>
              <w:t>The councils are effectively engaged with Procurement networks and PBO’s  and are aware of policy developments and procurement best practice</w:t>
            </w:r>
          </w:p>
        </w:tc>
      </w:tr>
      <w:tr w:rsidR="005E6FBB" w14:paraId="4552DA31"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4552DA30" w14:textId="77777777" w:rsidR="005E6FBB" w:rsidRDefault="005E6FBB" w:rsidP="00217675">
            <w:pPr>
              <w:spacing w:after="200" w:line="276" w:lineRule="auto"/>
              <w:rPr>
                <w:rFonts w:eastAsia="Calibri" w:cs="Arial"/>
                <w:sz w:val="20"/>
                <w:lang w:eastAsia="en-US"/>
              </w:rPr>
            </w:pPr>
            <w:r>
              <w:rPr>
                <w:rFonts w:eastAsia="Calibri" w:cs="Arial"/>
                <w:sz w:val="20"/>
                <w:lang w:eastAsia="en-US"/>
              </w:rPr>
              <w:t>4.  Recognition of the strategic importance of procurement and a commitment from the top</w:t>
            </w:r>
          </w:p>
        </w:tc>
      </w:tr>
    </w:tbl>
    <w:p w14:paraId="4552DA32" w14:textId="77777777" w:rsidR="005E6FBB" w:rsidRDefault="005E6FBB" w:rsidP="005E6FBB">
      <w:pPr>
        <w:jc w:val="both"/>
        <w:rPr>
          <w:rFonts w:cs="Arial"/>
          <w:sz w:val="20"/>
        </w:rPr>
      </w:pPr>
    </w:p>
    <w:p w14:paraId="4552DA33" w14:textId="77777777" w:rsidR="005E6FBB" w:rsidRDefault="005E6FBB" w:rsidP="005E6FBB">
      <w:pPr>
        <w:jc w:val="both"/>
        <w:rPr>
          <w:rFonts w:cs="Arial"/>
          <w:sz w:val="20"/>
        </w:rPr>
      </w:pPr>
    </w:p>
    <w:tbl>
      <w:tblPr>
        <w:tblW w:w="5000" w:type="pct"/>
        <w:tblCellMar>
          <w:left w:w="0" w:type="dxa"/>
          <w:right w:w="0" w:type="dxa"/>
        </w:tblCellMar>
        <w:tblLook w:val="04A0" w:firstRow="1" w:lastRow="0" w:firstColumn="1" w:lastColumn="0" w:noHBand="0" w:noVBand="1"/>
      </w:tblPr>
      <w:tblGrid>
        <w:gridCol w:w="896"/>
        <w:gridCol w:w="3569"/>
        <w:gridCol w:w="5323"/>
      </w:tblGrid>
      <w:tr w:rsidR="005E6FBB" w14:paraId="4552DA37" w14:textId="77777777" w:rsidTr="0021767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tcPr>
          <w:p w14:paraId="4552DA34" w14:textId="77777777" w:rsidR="005E6FBB" w:rsidRDefault="005E6FBB" w:rsidP="00217675">
            <w:pPr>
              <w:rPr>
                <w:rFonts w:cs="Arial"/>
                <w:b/>
                <w:bCs/>
                <w:color w:val="FFFFFF"/>
                <w:sz w:val="20"/>
              </w:rPr>
            </w:pPr>
          </w:p>
        </w:tc>
        <w:tc>
          <w:tcPr>
            <w:tcW w:w="1823" w:type="pct"/>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4552DA35"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Key Actions/Projects</w:t>
            </w:r>
          </w:p>
        </w:tc>
        <w:tc>
          <w:tcPr>
            <w:tcW w:w="2719" w:type="pct"/>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4552DA36"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Comments</w:t>
            </w:r>
          </w:p>
        </w:tc>
      </w:tr>
      <w:tr w:rsidR="005E6FBB" w14:paraId="4552DA3C"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38" w14:textId="77777777" w:rsidR="005E6FBB" w:rsidRDefault="005E6FBB" w:rsidP="00217675">
            <w:pPr>
              <w:jc w:val="center"/>
              <w:rPr>
                <w:rFonts w:cs="Arial"/>
                <w:sz w:val="20"/>
              </w:rPr>
            </w:pPr>
            <w:r>
              <w:rPr>
                <w:rFonts w:cs="Arial"/>
                <w:noProof/>
                <w:sz w:val="20"/>
              </w:rPr>
              <w:drawing>
                <wp:inline distT="0" distB="0" distL="0" distR="0" wp14:anchorId="4552DB12" wp14:editId="4552DB13">
                  <wp:extent cx="440055" cy="509270"/>
                  <wp:effectExtent l="0" t="0" r="0" b="5080"/>
                  <wp:docPr id="23" name="Picture 23"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39" w14:textId="77777777" w:rsidR="005E6FBB" w:rsidRDefault="005E6FBB" w:rsidP="00217675">
            <w:pPr>
              <w:rPr>
                <w:rFonts w:cs="Arial"/>
                <w:sz w:val="20"/>
              </w:rPr>
            </w:pPr>
            <w:r>
              <w:rPr>
                <w:rFonts w:cs="Arial"/>
                <w:sz w:val="20"/>
              </w:rPr>
              <w:t>1. Provide professional procurement guidance and support on major procurements and other procurement projects.</w:t>
            </w:r>
          </w:p>
          <w:p w14:paraId="4552DA3A" w14:textId="77777777" w:rsidR="005E6FBB" w:rsidRDefault="005E6FBB" w:rsidP="00217675">
            <w:pPr>
              <w:tabs>
                <w:tab w:val="num" w:pos="118"/>
              </w:tabs>
              <w:spacing w:before="100" w:beforeAutospacing="1" w:after="100" w:afterAutospacing="1"/>
              <w:ind w:left="259" w:hanging="259"/>
              <w:rPr>
                <w:rFonts w:cs="Arial"/>
                <w:sz w:val="20"/>
              </w:rPr>
            </w:pP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3B" w14:textId="77777777" w:rsidR="005E6FBB" w:rsidRDefault="005E6FBB" w:rsidP="00217675">
            <w:pPr>
              <w:spacing w:before="100" w:beforeAutospacing="1" w:after="100" w:afterAutospacing="1"/>
              <w:rPr>
                <w:rFonts w:cs="Arial"/>
                <w:sz w:val="20"/>
              </w:rPr>
            </w:pPr>
            <w:r>
              <w:rPr>
                <w:rFonts w:cs="Arial"/>
                <w:sz w:val="20"/>
              </w:rPr>
              <w:t xml:space="preserve">Provided as required.  Examples include waste and recycling, vehicles, grounds maintenance plant and equipment, works and regeneration projects, Chorley Digital Office Park, software and IT, insurance, consultancy, concierge services and many more.  </w:t>
            </w:r>
          </w:p>
        </w:tc>
      </w:tr>
      <w:tr w:rsidR="005E6FBB" w14:paraId="4552DA41"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3D" w14:textId="77777777" w:rsidR="005E6FBB" w:rsidRDefault="005E6FBB" w:rsidP="00217675">
            <w:pPr>
              <w:rPr>
                <w:b/>
                <w:color w:val="FFCC00"/>
                <w:sz w:val="72"/>
                <w:szCs w:val="72"/>
              </w:rPr>
            </w:pPr>
            <w:r>
              <w:rPr>
                <w:rFonts w:cs="Arial"/>
                <w:noProof/>
                <w:sz w:val="20"/>
              </w:rPr>
              <w:drawing>
                <wp:inline distT="0" distB="0" distL="0" distR="0" wp14:anchorId="4552DB14" wp14:editId="4552DB15">
                  <wp:extent cx="440055" cy="509270"/>
                  <wp:effectExtent l="0" t="0" r="0" b="5080"/>
                  <wp:docPr id="22" name="Picture 22"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p w14:paraId="4552DA3E" w14:textId="77777777" w:rsidR="005E6FBB" w:rsidRDefault="005E6FBB" w:rsidP="00217675">
            <w:pPr>
              <w:jc w:val="center"/>
              <w:rPr>
                <w:rFonts w:cs="Arial"/>
                <w:sz w:val="20"/>
              </w:rPr>
            </w:pP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3F" w14:textId="77777777" w:rsidR="005E6FBB" w:rsidRDefault="005E6FBB" w:rsidP="00217675">
            <w:pPr>
              <w:spacing w:after="200" w:line="276" w:lineRule="auto"/>
              <w:ind w:left="11"/>
              <w:contextualSpacing/>
              <w:rPr>
                <w:rFonts w:cs="Arial"/>
                <w:sz w:val="20"/>
              </w:rPr>
            </w:pPr>
            <w:r>
              <w:rPr>
                <w:rFonts w:cs="Arial"/>
                <w:sz w:val="20"/>
              </w:rPr>
              <w:t>2. Keep updated, develop and review the range of procurement guidance information available and accessible to officers  on SRBC Connect and CBC The Loop</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52DA40" w14:textId="77777777" w:rsidR="005E6FBB" w:rsidRDefault="005E6FBB" w:rsidP="00217675">
            <w:pPr>
              <w:spacing w:before="100" w:beforeAutospacing="1" w:after="100" w:afterAutospacing="1"/>
              <w:rPr>
                <w:rFonts w:cs="Arial"/>
                <w:sz w:val="20"/>
              </w:rPr>
            </w:pPr>
            <w:r>
              <w:rPr>
                <w:rFonts w:cs="Arial"/>
                <w:sz w:val="20"/>
              </w:rPr>
              <w:t>Useful Pocket Guide to Procurement and more detailed Staff Guide to Procurement are maintained and updated. Recent updates include Safeguarding Section, CPR review, new EU thresholds, Prevent Duty and information on GDPR.</w:t>
            </w:r>
          </w:p>
        </w:tc>
      </w:tr>
      <w:tr w:rsidR="005E6FBB" w14:paraId="4552DA47" w14:textId="77777777" w:rsidTr="00217675">
        <w:trPr>
          <w:trHeight w:val="1516"/>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42" w14:textId="77777777" w:rsidR="005E6FBB" w:rsidRDefault="005E6FBB" w:rsidP="00217675">
            <w:pPr>
              <w:rPr>
                <w:rFonts w:cs="Arial"/>
                <w:sz w:val="20"/>
              </w:rPr>
            </w:pPr>
            <w:r>
              <w:rPr>
                <w:rFonts w:cs="Arial"/>
                <w:noProof/>
                <w:sz w:val="20"/>
              </w:rPr>
              <w:drawing>
                <wp:inline distT="0" distB="0" distL="0" distR="0" wp14:anchorId="4552DB16" wp14:editId="4552DB17">
                  <wp:extent cx="440055" cy="509270"/>
                  <wp:effectExtent l="0" t="0" r="0" b="5080"/>
                  <wp:docPr id="21" name="Picture 21"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43" w14:textId="77777777" w:rsidR="005E6FBB" w:rsidRDefault="005E6FBB" w:rsidP="00217675">
            <w:pPr>
              <w:tabs>
                <w:tab w:val="num" w:pos="118"/>
              </w:tabs>
              <w:rPr>
                <w:rFonts w:cs="Arial"/>
                <w:sz w:val="20"/>
              </w:rPr>
            </w:pPr>
          </w:p>
          <w:p w14:paraId="4552DA44" w14:textId="77777777" w:rsidR="005E6FBB" w:rsidRDefault="005E6FBB" w:rsidP="00217675">
            <w:pPr>
              <w:spacing w:after="200" w:line="276" w:lineRule="auto"/>
              <w:rPr>
                <w:rFonts w:cs="Arial"/>
                <w:sz w:val="20"/>
              </w:rPr>
            </w:pPr>
            <w:r>
              <w:rPr>
                <w:rFonts w:cs="Arial"/>
                <w:sz w:val="20"/>
              </w:rPr>
              <w:t>3. Maintain up to date, template standard procurement documentation and Conditions of Contract to simplify the procurement process.</w:t>
            </w:r>
          </w:p>
          <w:p w14:paraId="4552DA45" w14:textId="77777777" w:rsidR="005E6FBB" w:rsidRDefault="005E6FBB" w:rsidP="00217675">
            <w:pPr>
              <w:rPr>
                <w:rFonts w:cs="Arial"/>
                <w:sz w:val="20"/>
              </w:rPr>
            </w:pP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46" w14:textId="77777777" w:rsidR="005E6FBB" w:rsidRDefault="005E6FBB" w:rsidP="00217675">
            <w:pPr>
              <w:spacing w:before="100" w:beforeAutospacing="1" w:after="100" w:afterAutospacing="1"/>
              <w:rPr>
                <w:rFonts w:cs="Arial"/>
                <w:sz w:val="20"/>
              </w:rPr>
            </w:pPr>
            <w:r>
              <w:rPr>
                <w:rFonts w:cs="Arial"/>
                <w:sz w:val="20"/>
              </w:rPr>
              <w:t xml:space="preserve">Template documentation for use on the Chest is maintained by the Procurement team and adapted for individual procurements.  Template Conditions are also maintained and kept updated in consultation with Legal Services.  Recent updates include incorporation of GDPR. </w:t>
            </w:r>
          </w:p>
        </w:tc>
      </w:tr>
      <w:tr w:rsidR="005E6FBB" w14:paraId="4552DA4C" w14:textId="77777777" w:rsidTr="00217675">
        <w:trPr>
          <w:trHeight w:val="1044"/>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48" w14:textId="77777777" w:rsidR="005E6FBB" w:rsidRDefault="005E6FBB" w:rsidP="00217675">
            <w:pPr>
              <w:rPr>
                <w:rFonts w:cs="Arial"/>
                <w:noProof/>
                <w:sz w:val="20"/>
              </w:rPr>
            </w:pPr>
            <w:r>
              <w:rPr>
                <w:rFonts w:cs="Arial"/>
                <w:noProof/>
                <w:sz w:val="20"/>
              </w:rPr>
              <w:drawing>
                <wp:inline distT="0" distB="0" distL="0" distR="0" wp14:anchorId="4552DB18" wp14:editId="4552DB19">
                  <wp:extent cx="440055" cy="5092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49" w14:textId="77777777" w:rsidR="005E6FBB" w:rsidRDefault="005E6FBB" w:rsidP="00217675">
            <w:pPr>
              <w:ind w:left="11" w:hanging="259"/>
              <w:rPr>
                <w:rFonts w:cs="Arial"/>
                <w:sz w:val="20"/>
              </w:rPr>
            </w:pPr>
            <w:r>
              <w:rPr>
                <w:rFonts w:cs="Arial"/>
                <w:sz w:val="20"/>
              </w:rPr>
              <w:t>4. 4. Maintain /Achieve 50% professionally qualified procurement employees (FTE’s) as a % of total procurement employees.</w:t>
            </w:r>
          </w:p>
          <w:p w14:paraId="4552DA4A" w14:textId="77777777" w:rsidR="005E6FBB" w:rsidRDefault="005E6FBB" w:rsidP="00217675">
            <w:pPr>
              <w:rPr>
                <w:rFonts w:cs="Arial"/>
                <w:sz w:val="20"/>
              </w:rPr>
            </w:pP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4B" w14:textId="77777777" w:rsidR="005E6FBB" w:rsidRDefault="005E6FBB" w:rsidP="00217675">
            <w:pPr>
              <w:spacing w:before="100" w:beforeAutospacing="1" w:after="100" w:afterAutospacing="1"/>
              <w:rPr>
                <w:rFonts w:cs="Arial"/>
                <w:sz w:val="20"/>
              </w:rPr>
            </w:pPr>
            <w:r>
              <w:rPr>
                <w:rFonts w:cs="Arial"/>
                <w:sz w:val="20"/>
              </w:rPr>
              <w:t>100 % Achieved.  Both the Principal Procurement Officer and Procurement Officer are MCIPS qualified.</w:t>
            </w:r>
          </w:p>
        </w:tc>
      </w:tr>
      <w:tr w:rsidR="005E6FBB" w14:paraId="4552DA51"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4D" w14:textId="77777777" w:rsidR="005E6FBB" w:rsidRDefault="005E6FBB" w:rsidP="00217675">
            <w:pPr>
              <w:rPr>
                <w:rFonts w:cs="Arial"/>
                <w:noProof/>
                <w:sz w:val="20"/>
              </w:rPr>
            </w:pPr>
            <w:r>
              <w:rPr>
                <w:rFonts w:cs="Arial"/>
                <w:noProof/>
                <w:sz w:val="20"/>
              </w:rPr>
              <w:drawing>
                <wp:inline distT="0" distB="0" distL="0" distR="0" wp14:anchorId="4552DB1A" wp14:editId="4552DB1B">
                  <wp:extent cx="440055" cy="5092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4E" w14:textId="77777777" w:rsidR="005E6FBB" w:rsidRDefault="005E6FBB" w:rsidP="00217675">
            <w:pPr>
              <w:ind w:left="11" w:hanging="259"/>
              <w:rPr>
                <w:rFonts w:cs="Arial"/>
                <w:sz w:val="20"/>
              </w:rPr>
            </w:pPr>
            <w:r>
              <w:rPr>
                <w:rFonts w:cs="Arial"/>
                <w:sz w:val="20"/>
              </w:rPr>
              <w:t>5.</w:t>
            </w:r>
            <w:r>
              <w:rPr>
                <w:rFonts w:ascii="Calibri" w:eastAsia="Calibri" w:hAnsi="Calibri"/>
                <w:szCs w:val="22"/>
                <w:lang w:eastAsia="en-US"/>
              </w:rPr>
              <w:t xml:space="preserve"> </w:t>
            </w:r>
            <w:r>
              <w:rPr>
                <w:rFonts w:cs="Arial"/>
                <w:sz w:val="20"/>
              </w:rPr>
              <w:t>5.Attend and contribute to regional  events and other procurement networks to ensure visibility, input and awareness into developing policy and best practice</w:t>
            </w:r>
          </w:p>
          <w:p w14:paraId="4552DA4F" w14:textId="77777777" w:rsidR="005E6FBB" w:rsidRDefault="005E6FBB" w:rsidP="00217675">
            <w:pPr>
              <w:ind w:left="11" w:hanging="259"/>
              <w:rPr>
                <w:rFonts w:cs="Arial"/>
                <w:sz w:val="20"/>
              </w:rPr>
            </w:pP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50" w14:textId="77777777" w:rsidR="005E6FBB" w:rsidRDefault="005E6FBB" w:rsidP="00217675">
            <w:pPr>
              <w:spacing w:before="100" w:beforeAutospacing="1" w:after="100" w:afterAutospacing="1"/>
              <w:rPr>
                <w:rFonts w:cs="Arial"/>
                <w:sz w:val="20"/>
              </w:rPr>
            </w:pPr>
            <w:r>
              <w:rPr>
                <w:rFonts w:cs="Arial"/>
                <w:sz w:val="20"/>
              </w:rPr>
              <w:t xml:space="preserve">Members of the procurement team have attended various events including </w:t>
            </w:r>
            <w:proofErr w:type="spellStart"/>
            <w:r>
              <w:rPr>
                <w:rFonts w:cs="Arial"/>
                <w:sz w:val="20"/>
              </w:rPr>
              <w:t>i</w:t>
            </w:r>
            <w:proofErr w:type="spellEnd"/>
            <w:r>
              <w:rPr>
                <w:rFonts w:cs="Arial"/>
                <w:sz w:val="20"/>
              </w:rPr>
              <w:t>-network, training events and Regional Chest meetings where these are considered relevant and useful and resources permit.</w:t>
            </w:r>
          </w:p>
        </w:tc>
      </w:tr>
      <w:tr w:rsidR="005E6FBB" w14:paraId="4552DA55"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52" w14:textId="77777777" w:rsidR="005E6FBB" w:rsidRDefault="005E6FBB" w:rsidP="00217675">
            <w:pPr>
              <w:rPr>
                <w:rFonts w:cs="Arial"/>
                <w:noProof/>
                <w:sz w:val="20"/>
              </w:rPr>
            </w:pPr>
            <w:r>
              <w:rPr>
                <w:rFonts w:cs="Arial"/>
                <w:noProof/>
                <w:sz w:val="20"/>
              </w:rPr>
              <w:drawing>
                <wp:inline distT="0" distB="0" distL="0" distR="0" wp14:anchorId="4552DB1C" wp14:editId="4552DB1D">
                  <wp:extent cx="440055" cy="5092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53" w14:textId="77777777" w:rsidR="005E6FBB" w:rsidRDefault="005E6FBB" w:rsidP="00217675">
            <w:pPr>
              <w:ind w:left="11" w:hanging="259"/>
              <w:rPr>
                <w:rFonts w:cs="Arial"/>
                <w:sz w:val="20"/>
              </w:rPr>
            </w:pPr>
            <w:r>
              <w:rPr>
                <w:rFonts w:cs="Arial"/>
                <w:sz w:val="20"/>
              </w:rPr>
              <w:t>6.</w:t>
            </w:r>
            <w:r>
              <w:rPr>
                <w:rFonts w:cs="Arial"/>
                <w:sz w:val="20"/>
              </w:rPr>
              <w:tab/>
              <w:t>6.Procurement officers to attend and take advantage of free face to face and e-learning on the new EU Procurement Directives.</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54" w14:textId="77777777" w:rsidR="005E6FBB" w:rsidRDefault="005E6FBB" w:rsidP="00217675">
            <w:pPr>
              <w:spacing w:before="100" w:beforeAutospacing="1" w:after="100" w:afterAutospacing="1"/>
              <w:rPr>
                <w:rFonts w:cs="Arial"/>
                <w:sz w:val="20"/>
              </w:rPr>
            </w:pPr>
            <w:r>
              <w:rPr>
                <w:rFonts w:cs="Arial"/>
                <w:sz w:val="20"/>
              </w:rPr>
              <w:t>This was a one-off event and was attended by the procurement team.</w:t>
            </w:r>
          </w:p>
        </w:tc>
      </w:tr>
      <w:tr w:rsidR="005E6FBB" w14:paraId="4552DA5A"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56" w14:textId="77777777" w:rsidR="005E6FBB" w:rsidRDefault="005E6FBB" w:rsidP="00217675">
            <w:pPr>
              <w:rPr>
                <w:rFonts w:cs="Arial"/>
                <w:noProof/>
                <w:sz w:val="20"/>
              </w:rPr>
            </w:pPr>
            <w:r>
              <w:rPr>
                <w:rFonts w:cs="Arial"/>
                <w:noProof/>
                <w:sz w:val="20"/>
              </w:rPr>
              <w:lastRenderedPageBreak/>
              <w:drawing>
                <wp:inline distT="0" distB="0" distL="0" distR="0" wp14:anchorId="4552DB1E" wp14:editId="4552DB1F">
                  <wp:extent cx="440055" cy="5092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57" w14:textId="77777777" w:rsidR="005E6FBB" w:rsidRDefault="005E6FBB" w:rsidP="00217675">
            <w:pPr>
              <w:ind w:left="11" w:hanging="259"/>
              <w:rPr>
                <w:rFonts w:cs="Arial"/>
                <w:color w:val="FF0000"/>
                <w:sz w:val="20"/>
              </w:rPr>
            </w:pPr>
            <w:r>
              <w:rPr>
                <w:rFonts w:cs="Arial"/>
                <w:color w:val="FF0000"/>
                <w:sz w:val="20"/>
              </w:rPr>
              <w:t>7.</w:t>
            </w:r>
            <w:r>
              <w:rPr>
                <w:rFonts w:cs="Arial"/>
                <w:color w:val="FF0000"/>
                <w:sz w:val="20"/>
              </w:rPr>
              <w:tab/>
            </w:r>
            <w:r>
              <w:rPr>
                <w:rFonts w:cs="Arial"/>
                <w:sz w:val="20"/>
              </w:rPr>
              <w:t>7. Regular reporting to the Shared Services Joint Committee</w:t>
            </w:r>
          </w:p>
          <w:p w14:paraId="4552DA58" w14:textId="77777777" w:rsidR="005E6FBB" w:rsidRDefault="005E6FBB" w:rsidP="00217675">
            <w:pPr>
              <w:ind w:left="11" w:hanging="259"/>
              <w:rPr>
                <w:rFonts w:cs="Arial"/>
                <w:color w:val="FF0000"/>
                <w:sz w:val="20"/>
              </w:rPr>
            </w:pP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59" w14:textId="77777777" w:rsidR="005E6FBB" w:rsidRPr="001004EF" w:rsidRDefault="005E6FBB" w:rsidP="00217675">
            <w:pPr>
              <w:spacing w:before="100" w:beforeAutospacing="1" w:after="100" w:afterAutospacing="1"/>
              <w:rPr>
                <w:rFonts w:cs="Arial"/>
                <w:sz w:val="20"/>
              </w:rPr>
            </w:pPr>
            <w:r w:rsidRPr="001004EF">
              <w:rPr>
                <w:rFonts w:cs="Arial"/>
                <w:sz w:val="20"/>
              </w:rPr>
              <w:t xml:space="preserve">Completed through the routine performance monitoring reports </w:t>
            </w:r>
          </w:p>
        </w:tc>
      </w:tr>
      <w:tr w:rsidR="005E6FBB" w14:paraId="4552DA5F"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5B" w14:textId="77777777" w:rsidR="005E6FBB" w:rsidRDefault="005E6FBB" w:rsidP="00217675">
            <w:pPr>
              <w:rPr>
                <w:rFonts w:cs="Arial"/>
                <w:noProof/>
                <w:sz w:val="20"/>
              </w:rPr>
            </w:pPr>
            <w:r>
              <w:rPr>
                <w:rFonts w:cs="Arial"/>
                <w:noProof/>
                <w:sz w:val="20"/>
              </w:rPr>
              <w:drawing>
                <wp:inline distT="0" distB="0" distL="0" distR="0" wp14:anchorId="4552DB20" wp14:editId="4552DB21">
                  <wp:extent cx="440055" cy="5092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5C" w14:textId="77777777" w:rsidR="005E6FBB" w:rsidRDefault="005E6FBB" w:rsidP="00217675">
            <w:pPr>
              <w:ind w:left="11" w:hanging="259"/>
              <w:rPr>
                <w:rFonts w:cs="Arial"/>
                <w:color w:val="FF0000"/>
                <w:sz w:val="20"/>
              </w:rPr>
            </w:pPr>
            <w:r>
              <w:rPr>
                <w:rFonts w:cs="Arial"/>
                <w:color w:val="FF0000"/>
                <w:sz w:val="20"/>
              </w:rPr>
              <w:t>7.</w:t>
            </w:r>
            <w:r>
              <w:rPr>
                <w:rFonts w:cs="Arial"/>
                <w:sz w:val="20"/>
              </w:rPr>
              <w:tab/>
              <w:t>8. Adopt a strategic commissioning approach where appropriate, to appraise new service delivery models and procurement and commissioning staff work together to ensure best outcomes for service users</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5D" w14:textId="77777777" w:rsidR="005E6FBB" w:rsidRDefault="005E6FBB" w:rsidP="00217675">
            <w:pPr>
              <w:spacing w:after="200" w:line="276" w:lineRule="auto"/>
              <w:rPr>
                <w:rFonts w:cs="Arial"/>
                <w:sz w:val="20"/>
              </w:rPr>
            </w:pPr>
            <w:r>
              <w:rPr>
                <w:rFonts w:cs="Arial"/>
                <w:sz w:val="20"/>
              </w:rPr>
              <w:t xml:space="preserve">Commissioning can be defined as “Assessing the needs of the population in an area, designing and then securing the delivery of services’. Commissioning is therefore usually about securing services and has its origins in health and social care. At Chorley a commissioning approach was adopted for the commissions for advice service (covering debt), older people, children and families, community safety and vulnerable adults (women). This included completion of a needs analysis, with contracts designed and procured and monitored to ensure those needs are met. </w:t>
            </w:r>
          </w:p>
          <w:p w14:paraId="4552DA5E" w14:textId="77777777" w:rsidR="005E6FBB" w:rsidRPr="001004EF" w:rsidRDefault="005E6FBB" w:rsidP="00217675">
            <w:pPr>
              <w:spacing w:after="200" w:line="276" w:lineRule="auto"/>
              <w:rPr>
                <w:rFonts w:cs="Arial"/>
                <w:i/>
                <w:sz w:val="20"/>
              </w:rPr>
            </w:pPr>
            <w:r w:rsidRPr="001004EF">
              <w:rPr>
                <w:rFonts w:cs="Arial"/>
                <w:sz w:val="20"/>
              </w:rPr>
              <w:t>SRBC have, and are, carrying out extensive analysis and research in order to improve health and wellbeing which is a key priority and this work has led to the development of the Campus programme.   Additionally the commissioning of the Young Persons Housing Advice Service and also the Floating support service was undertaken following the homelessness review in 2016 and the production of the new homelessness strategy in 2017.</w:t>
            </w:r>
          </w:p>
        </w:tc>
      </w:tr>
    </w:tbl>
    <w:p w14:paraId="4552DA60" w14:textId="77777777" w:rsidR="005E6FBB" w:rsidRDefault="005E6FBB" w:rsidP="005E6FBB">
      <w:pPr>
        <w:spacing w:after="200" w:line="276" w:lineRule="auto"/>
        <w:rPr>
          <w:rFonts w:ascii="Calibri" w:eastAsia="Calibri" w:hAnsi="Calibri"/>
          <w:b/>
          <w:sz w:val="24"/>
          <w:szCs w:val="24"/>
          <w:lang w:eastAsia="en-US"/>
        </w:rPr>
      </w:pPr>
    </w:p>
    <w:p w14:paraId="4552DA61" w14:textId="77777777" w:rsidR="005E6FBB" w:rsidRDefault="005E6FBB" w:rsidP="005E6FBB">
      <w:pPr>
        <w:tabs>
          <w:tab w:val="left" w:pos="6045"/>
        </w:tabs>
        <w:rPr>
          <w:rFonts w:ascii="Tahoma" w:hAnsi="Tahoma" w:cs="Arial"/>
          <w:b/>
          <w:bCs/>
          <w:color w:val="000080"/>
          <w:sz w:val="24"/>
          <w:szCs w:val="24"/>
        </w:rPr>
      </w:pPr>
      <w:r>
        <w:rPr>
          <w:rFonts w:ascii="Tahoma" w:hAnsi="Tahoma" w:cs="Arial"/>
          <w:b/>
          <w:bCs/>
          <w:color w:val="000080"/>
          <w:sz w:val="24"/>
          <w:szCs w:val="24"/>
        </w:rPr>
        <w:t xml:space="preserve">Procurement that engages all buyers/commissioners, is market aware and delivers sustained competitiveness and value for money </w:t>
      </w:r>
    </w:p>
    <w:p w14:paraId="4552DA62" w14:textId="77777777" w:rsidR="005E6FBB" w:rsidRDefault="005E6FBB" w:rsidP="005E6FBB">
      <w:pPr>
        <w:tabs>
          <w:tab w:val="left" w:pos="6045"/>
        </w:tabs>
        <w:rPr>
          <w:rFonts w:ascii="Tahoma" w:hAnsi="Tahoma" w:cs="Arial"/>
          <w:b/>
          <w:bCs/>
          <w:color w:val="000080"/>
          <w:sz w:val="24"/>
          <w:szCs w:val="24"/>
        </w:rPr>
      </w:pPr>
      <w:r>
        <w:rPr>
          <w:rFonts w:ascii="Tahoma" w:hAnsi="Tahoma" w:cs="Arial"/>
          <w:b/>
          <w:bCs/>
          <w:color w:val="000080"/>
          <w:sz w:val="24"/>
          <w:szCs w:val="24"/>
        </w:rPr>
        <w:tab/>
      </w:r>
    </w:p>
    <w:tbl>
      <w:tblPr>
        <w:tblW w:w="5054" w:type="pct"/>
        <w:tblCellMar>
          <w:left w:w="0" w:type="dxa"/>
          <w:right w:w="0" w:type="dxa"/>
        </w:tblCellMar>
        <w:tblLook w:val="04A0" w:firstRow="1" w:lastRow="0" w:firstColumn="1" w:lastColumn="0" w:noHBand="0" w:noVBand="1"/>
      </w:tblPr>
      <w:tblGrid>
        <w:gridCol w:w="9962"/>
      </w:tblGrid>
      <w:tr w:rsidR="005E6FBB" w14:paraId="4552DA64"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0080C0"/>
            <w:tcMar>
              <w:top w:w="109" w:type="dxa"/>
              <w:left w:w="109" w:type="dxa"/>
              <w:bottom w:w="109" w:type="dxa"/>
              <w:right w:w="109" w:type="dxa"/>
            </w:tcMar>
            <w:vAlign w:val="bottom"/>
            <w:hideMark/>
          </w:tcPr>
          <w:p w14:paraId="4552DA63" w14:textId="77777777" w:rsidR="005E6FBB" w:rsidRDefault="005E6FBB" w:rsidP="00217675">
            <w:pPr>
              <w:spacing w:before="100" w:beforeAutospacing="1" w:after="100" w:afterAutospacing="1"/>
              <w:jc w:val="both"/>
              <w:rPr>
                <w:rFonts w:cs="Arial"/>
                <w:b/>
                <w:bCs/>
                <w:color w:val="FFFFFF"/>
                <w:sz w:val="20"/>
              </w:rPr>
            </w:pPr>
            <w:r>
              <w:rPr>
                <w:rFonts w:cs="Arial"/>
                <w:b/>
                <w:bCs/>
                <w:color w:val="FFFFFF"/>
                <w:sz w:val="20"/>
              </w:rPr>
              <w:t>Our Priority Objectives</w:t>
            </w:r>
          </w:p>
        </w:tc>
      </w:tr>
      <w:tr w:rsidR="005E6FBB" w14:paraId="4552DA66"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4552DA65" w14:textId="77777777" w:rsidR="005E6FBB" w:rsidRDefault="005E6FBB" w:rsidP="00217675">
            <w:pPr>
              <w:spacing w:after="200" w:line="276" w:lineRule="auto"/>
              <w:rPr>
                <w:rFonts w:eastAsia="Calibri" w:cs="Arial"/>
                <w:sz w:val="20"/>
                <w:lang w:eastAsia="en-US"/>
              </w:rPr>
            </w:pPr>
            <w:r>
              <w:rPr>
                <w:rFonts w:eastAsia="Calibri" w:cs="Arial"/>
                <w:sz w:val="20"/>
                <w:lang w:eastAsia="en-US"/>
              </w:rPr>
              <w:t>5) To contribute to the achievement of the Councils’ Targets for efficiencies</w:t>
            </w:r>
          </w:p>
        </w:tc>
      </w:tr>
      <w:tr w:rsidR="005E6FBB" w14:paraId="4552DA69" w14:textId="77777777" w:rsidTr="00217675">
        <w:trPr>
          <w:trHeight w:val="530"/>
        </w:trPr>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tcPr>
          <w:p w14:paraId="4552DA67" w14:textId="77777777" w:rsidR="005E6FBB" w:rsidRDefault="005E6FBB" w:rsidP="00217675">
            <w:pPr>
              <w:rPr>
                <w:rFonts w:eastAsia="Calibri" w:cs="Arial"/>
                <w:sz w:val="20"/>
                <w:lang w:eastAsia="en-US"/>
              </w:rPr>
            </w:pPr>
            <w:r>
              <w:rPr>
                <w:rFonts w:eastAsia="Calibri" w:cs="Arial"/>
                <w:sz w:val="20"/>
                <w:lang w:eastAsia="en-US"/>
              </w:rPr>
              <w:t>6) To deliver an efficient and effective joint procurement service which maximises efficiency for joint procurement, using a category management approach and taking advantage of collaborative working with partner organisations where appropriate.</w:t>
            </w:r>
          </w:p>
          <w:p w14:paraId="4552DA68" w14:textId="77777777" w:rsidR="005E6FBB" w:rsidRDefault="005E6FBB" w:rsidP="00217675">
            <w:pPr>
              <w:spacing w:after="200" w:line="276" w:lineRule="auto"/>
              <w:ind w:left="720"/>
              <w:contextualSpacing/>
              <w:rPr>
                <w:rFonts w:eastAsia="Calibri" w:cs="Arial"/>
                <w:sz w:val="20"/>
                <w:lang w:eastAsia="en-US"/>
              </w:rPr>
            </w:pPr>
          </w:p>
        </w:tc>
      </w:tr>
    </w:tbl>
    <w:p w14:paraId="4552DA6A" w14:textId="77777777" w:rsidR="005E6FBB" w:rsidRDefault="005E6FBB" w:rsidP="005E6FBB">
      <w:pPr>
        <w:spacing w:after="200" w:line="276" w:lineRule="auto"/>
        <w:rPr>
          <w:rFonts w:ascii="Calibri" w:eastAsia="Calibri" w:hAnsi="Calibri"/>
          <w:b/>
          <w:sz w:val="24"/>
          <w:szCs w:val="24"/>
          <w:lang w:eastAsia="en-US"/>
        </w:rPr>
      </w:pPr>
    </w:p>
    <w:tbl>
      <w:tblPr>
        <w:tblW w:w="5000" w:type="pct"/>
        <w:tblCellMar>
          <w:left w:w="0" w:type="dxa"/>
          <w:right w:w="0" w:type="dxa"/>
        </w:tblCellMar>
        <w:tblLook w:val="04A0" w:firstRow="1" w:lastRow="0" w:firstColumn="1" w:lastColumn="0" w:noHBand="0" w:noVBand="1"/>
      </w:tblPr>
      <w:tblGrid>
        <w:gridCol w:w="896"/>
        <w:gridCol w:w="3569"/>
        <w:gridCol w:w="5323"/>
      </w:tblGrid>
      <w:tr w:rsidR="005E6FBB" w14:paraId="4552DA6E" w14:textId="77777777" w:rsidTr="0021767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tcPr>
          <w:p w14:paraId="4552DA6B" w14:textId="77777777" w:rsidR="005E6FBB" w:rsidRDefault="005E6FBB" w:rsidP="00217675">
            <w:pPr>
              <w:rPr>
                <w:rFonts w:cs="Arial"/>
                <w:b/>
                <w:bCs/>
                <w:color w:val="FFFFFF"/>
                <w:sz w:val="20"/>
              </w:rPr>
            </w:pPr>
          </w:p>
        </w:tc>
        <w:tc>
          <w:tcPr>
            <w:tcW w:w="1823" w:type="pct"/>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4552DA6C"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Key Actions/Projects</w:t>
            </w:r>
          </w:p>
        </w:tc>
        <w:tc>
          <w:tcPr>
            <w:tcW w:w="2719" w:type="pct"/>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4552DA6D"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Comments</w:t>
            </w:r>
          </w:p>
        </w:tc>
      </w:tr>
      <w:tr w:rsidR="005E6FBB" w14:paraId="4552DA72"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6F" w14:textId="77777777" w:rsidR="005E6FBB" w:rsidRDefault="005E6FBB" w:rsidP="00217675">
            <w:pPr>
              <w:jc w:val="center"/>
              <w:rPr>
                <w:rFonts w:cs="Arial"/>
                <w:sz w:val="20"/>
              </w:rPr>
            </w:pPr>
            <w:r>
              <w:rPr>
                <w:rFonts w:ascii="Calibri" w:eastAsia="Calibri" w:hAnsi="Calibri"/>
                <w:b/>
                <w:color w:val="FFCC00"/>
                <w:sz w:val="72"/>
                <w:szCs w:val="72"/>
                <w:lang w:eastAsia="en-US"/>
              </w:rPr>
              <w:sym w:font="Wingdings" w:char="F04B"/>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70" w14:textId="77777777" w:rsidR="005E6FBB" w:rsidRDefault="005E6FBB" w:rsidP="00217675">
            <w:pPr>
              <w:tabs>
                <w:tab w:val="num" w:pos="118"/>
              </w:tabs>
              <w:spacing w:before="100" w:beforeAutospacing="1" w:after="100" w:afterAutospacing="1"/>
              <w:ind w:left="259" w:hanging="259"/>
              <w:rPr>
                <w:rFonts w:cs="Arial"/>
                <w:sz w:val="20"/>
              </w:rPr>
            </w:pPr>
            <w:r>
              <w:rPr>
                <w:rFonts w:cs="Arial"/>
                <w:sz w:val="20"/>
              </w:rPr>
              <w:t>9.</w:t>
            </w:r>
            <w:r>
              <w:rPr>
                <w:rFonts w:cs="Arial"/>
                <w:sz w:val="20"/>
              </w:rPr>
              <w:tab/>
              <w:t>Maintain a clear picture through procurement planning and spend analysis of the procurement landscape at both authorities to identify key action areas and collaborative opportunities</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71" w14:textId="77777777" w:rsidR="005E6FBB" w:rsidRDefault="005E6FBB" w:rsidP="00217675">
            <w:pPr>
              <w:spacing w:before="100" w:beforeAutospacing="1" w:after="100" w:afterAutospacing="1"/>
              <w:rPr>
                <w:rFonts w:cs="Arial"/>
                <w:sz w:val="20"/>
              </w:rPr>
            </w:pPr>
            <w:r>
              <w:rPr>
                <w:rFonts w:cs="Arial"/>
                <w:sz w:val="20"/>
              </w:rPr>
              <w:t xml:space="preserve">Spend analysis has been completed at both authorities and presented to ELT/SMT. The Transparency Contracts Register is circulated quarterly for departmental review and update prior to publication. Whilst this provides a prompt and alert to contract status, provision of procurement planning information from individual departments has been inconsistent.  Work is now being planned and undertaken to create and implement a contract management system which will assist the planning process.     </w:t>
            </w:r>
          </w:p>
        </w:tc>
      </w:tr>
      <w:tr w:rsidR="005E6FBB" w14:paraId="4552DA77"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73" w14:textId="77777777" w:rsidR="005E6FBB" w:rsidRDefault="005E6FBB" w:rsidP="00217675">
            <w:pPr>
              <w:rPr>
                <w:b/>
                <w:color w:val="FFCC00"/>
                <w:sz w:val="72"/>
                <w:szCs w:val="72"/>
              </w:rPr>
            </w:pPr>
            <w:r>
              <w:rPr>
                <w:rFonts w:cs="Arial"/>
                <w:noProof/>
                <w:sz w:val="20"/>
              </w:rPr>
              <w:drawing>
                <wp:inline distT="0" distB="0" distL="0" distR="0" wp14:anchorId="4552DB22" wp14:editId="4552DB23">
                  <wp:extent cx="440055" cy="509270"/>
                  <wp:effectExtent l="0" t="0" r="0" b="5080"/>
                  <wp:docPr id="15" name="Picture 15"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p w14:paraId="4552DA74" w14:textId="77777777" w:rsidR="005E6FBB" w:rsidRDefault="005E6FBB" w:rsidP="00217675">
            <w:pPr>
              <w:jc w:val="center"/>
              <w:rPr>
                <w:rFonts w:cs="Arial"/>
                <w:sz w:val="20"/>
              </w:rPr>
            </w:pP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75" w14:textId="77777777" w:rsidR="005E6FBB" w:rsidRDefault="005E6FBB" w:rsidP="00217675">
            <w:pPr>
              <w:tabs>
                <w:tab w:val="num" w:pos="118"/>
              </w:tabs>
              <w:spacing w:before="100" w:beforeAutospacing="1" w:after="100" w:afterAutospacing="1"/>
              <w:ind w:left="259" w:hanging="259"/>
              <w:rPr>
                <w:rFonts w:cs="Arial"/>
                <w:sz w:val="20"/>
              </w:rPr>
            </w:pPr>
            <w:r>
              <w:rPr>
                <w:rFonts w:cs="Arial"/>
                <w:sz w:val="20"/>
              </w:rPr>
              <w:lastRenderedPageBreak/>
              <w:t>10. Adopt a category management approach to make savings by maximising value from areas of spend.</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52DA76" w14:textId="77777777" w:rsidR="005E6FBB" w:rsidRDefault="005E6FBB" w:rsidP="00217675">
            <w:pPr>
              <w:spacing w:before="100" w:beforeAutospacing="1" w:after="100" w:afterAutospacing="1"/>
              <w:rPr>
                <w:rFonts w:cs="Arial"/>
                <w:sz w:val="20"/>
              </w:rPr>
            </w:pPr>
            <w:r>
              <w:rPr>
                <w:rFonts w:cs="Arial"/>
                <w:sz w:val="20"/>
              </w:rPr>
              <w:t xml:space="preserve">Spend and supplier analysis has contributed to standardisation and grouping of products in some cases across both CBC and SRBC into collaborative single quotation activity e.g. Personal Protective Equipment, and </w:t>
            </w:r>
            <w:r>
              <w:rPr>
                <w:rFonts w:cs="Arial"/>
                <w:sz w:val="20"/>
              </w:rPr>
              <w:lastRenderedPageBreak/>
              <w:t>Janitorial products.  Additionally all software and IT services contracts at SRBC have now been brought under the responsibility of IT for maximum value and control.</w:t>
            </w:r>
          </w:p>
        </w:tc>
      </w:tr>
      <w:tr w:rsidR="005E6FBB" w14:paraId="4552DA7B"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78" w14:textId="77777777" w:rsidR="005E6FBB" w:rsidRDefault="005E6FBB" w:rsidP="00217675">
            <w:pPr>
              <w:rPr>
                <w:rFonts w:cs="Arial"/>
                <w:sz w:val="20"/>
              </w:rPr>
            </w:pPr>
            <w:r>
              <w:rPr>
                <w:rFonts w:cs="Arial"/>
                <w:noProof/>
                <w:sz w:val="20"/>
              </w:rPr>
              <w:lastRenderedPageBreak/>
              <w:drawing>
                <wp:inline distT="0" distB="0" distL="0" distR="0" wp14:anchorId="4552DB24" wp14:editId="4552DB25">
                  <wp:extent cx="440055" cy="509270"/>
                  <wp:effectExtent l="0" t="0" r="0" b="5080"/>
                  <wp:docPr id="14" name="Picture 14"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79" w14:textId="77777777" w:rsidR="005E6FBB" w:rsidRDefault="005E6FBB" w:rsidP="00217675">
            <w:pPr>
              <w:rPr>
                <w:rFonts w:cs="Arial"/>
                <w:sz w:val="20"/>
              </w:rPr>
            </w:pPr>
            <w:r>
              <w:rPr>
                <w:rFonts w:eastAsia="Calibri" w:cs="Arial"/>
                <w:sz w:val="20"/>
                <w:lang w:eastAsia="en-US"/>
              </w:rPr>
              <w:t>11. Review and maximise the use of framework agreements and collaboration arrangements with other partners and PBO’s where they are competitive, to deliver efficiencies and reduce duplication</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7A" w14:textId="77777777" w:rsidR="005E6FBB" w:rsidRDefault="005E6FBB" w:rsidP="00217675">
            <w:pPr>
              <w:spacing w:before="100" w:beforeAutospacing="1" w:after="100" w:afterAutospacing="1"/>
              <w:rPr>
                <w:rFonts w:cs="Arial"/>
                <w:sz w:val="20"/>
              </w:rPr>
            </w:pPr>
            <w:r>
              <w:rPr>
                <w:rFonts w:cs="Arial"/>
                <w:sz w:val="20"/>
              </w:rPr>
              <w:t xml:space="preserve">Frameworks used extensively where they offer best value at both SRBC and CBC, examples include vehicles, IT software and services, stationary and wheeled bins.  </w:t>
            </w:r>
          </w:p>
        </w:tc>
      </w:tr>
      <w:tr w:rsidR="005E6FBB" w14:paraId="4552DA7F"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7C" w14:textId="77777777" w:rsidR="005E6FBB" w:rsidRDefault="005E6FBB" w:rsidP="00217675">
            <w:pPr>
              <w:rPr>
                <w:rFonts w:cs="Arial"/>
                <w:noProof/>
                <w:sz w:val="20"/>
              </w:rPr>
            </w:pPr>
            <w:r>
              <w:rPr>
                <w:rFonts w:cs="Arial"/>
                <w:noProof/>
                <w:sz w:val="20"/>
              </w:rPr>
              <w:drawing>
                <wp:inline distT="0" distB="0" distL="0" distR="0" wp14:anchorId="4552DB26" wp14:editId="4552DB27">
                  <wp:extent cx="440055" cy="5092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7D" w14:textId="77777777" w:rsidR="005E6FBB" w:rsidRDefault="005E6FBB" w:rsidP="00217675">
            <w:pPr>
              <w:ind w:left="11" w:hanging="259"/>
              <w:rPr>
                <w:rFonts w:cs="Arial"/>
                <w:sz w:val="20"/>
              </w:rPr>
            </w:pPr>
            <w:r>
              <w:rPr>
                <w:rFonts w:cs="Arial"/>
                <w:sz w:val="20"/>
              </w:rPr>
              <w:t>1  12. Work towards the achievement of a Procurement savings target of £100,000 cumulative savings per authority over the 3 year strategy life.</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7E" w14:textId="77777777" w:rsidR="005E6FBB" w:rsidRDefault="005E6FBB" w:rsidP="00217675">
            <w:pPr>
              <w:spacing w:before="100" w:beforeAutospacing="1" w:after="100" w:afterAutospacing="1"/>
              <w:rPr>
                <w:rFonts w:cs="Arial"/>
                <w:sz w:val="20"/>
              </w:rPr>
            </w:pPr>
            <w:r>
              <w:rPr>
                <w:rFonts w:cs="Arial"/>
                <w:sz w:val="20"/>
              </w:rPr>
              <w:t>Savings target exceeded at both authorities.</w:t>
            </w:r>
          </w:p>
        </w:tc>
      </w:tr>
      <w:tr w:rsidR="005E6FBB" w14:paraId="4552DA83"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80" w14:textId="77777777" w:rsidR="005E6FBB" w:rsidRDefault="005E6FBB" w:rsidP="00217675">
            <w:pPr>
              <w:rPr>
                <w:rFonts w:cs="Arial"/>
                <w:noProof/>
                <w:sz w:val="20"/>
              </w:rPr>
            </w:pPr>
            <w:r>
              <w:rPr>
                <w:rFonts w:cs="Arial"/>
                <w:noProof/>
                <w:sz w:val="20"/>
              </w:rPr>
              <w:drawing>
                <wp:inline distT="0" distB="0" distL="0" distR="0" wp14:anchorId="4552DB28" wp14:editId="4552DB29">
                  <wp:extent cx="440055" cy="5092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81" w14:textId="77777777" w:rsidR="005E6FBB" w:rsidRDefault="005E6FBB" w:rsidP="00217675">
            <w:pPr>
              <w:ind w:left="11" w:hanging="259"/>
              <w:rPr>
                <w:rFonts w:cs="Arial"/>
                <w:sz w:val="20"/>
              </w:rPr>
            </w:pPr>
            <w:r>
              <w:rPr>
                <w:rFonts w:cs="Arial"/>
                <w:sz w:val="20"/>
              </w:rPr>
              <w:t>1   13.Ensure effective contract management of key contracts measuring contract outputs and key performance indicators to ensure competitiveness over the life of the contract</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82" w14:textId="77777777" w:rsidR="005E6FBB" w:rsidRPr="001004EF" w:rsidRDefault="005E6FBB" w:rsidP="00217675">
            <w:pPr>
              <w:spacing w:before="100" w:beforeAutospacing="1" w:after="100" w:afterAutospacing="1"/>
              <w:rPr>
                <w:rFonts w:cs="Arial"/>
                <w:sz w:val="20"/>
              </w:rPr>
            </w:pPr>
            <w:r w:rsidRPr="001004EF">
              <w:rPr>
                <w:rFonts w:cs="Arial"/>
                <w:sz w:val="20"/>
              </w:rPr>
              <w:t>Contract management of key contracts is undertaken by individual Contract Managers at both authorities. Additionally, at CBC, performance of key partnerships is monitored, and performance against targets, together with an assessment of financial strength and any emerging issues, is reported annually to Executive Cabinet</w:t>
            </w:r>
            <w:r w:rsidRPr="001004EF">
              <w:rPr>
                <w:rFonts w:cs="Arial"/>
                <w:i/>
                <w:sz w:val="20"/>
              </w:rPr>
              <w:t xml:space="preserve">.    </w:t>
            </w:r>
          </w:p>
        </w:tc>
      </w:tr>
      <w:tr w:rsidR="005E6FBB" w14:paraId="4552DA87"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84" w14:textId="77777777" w:rsidR="005E6FBB" w:rsidRDefault="005E6FBB" w:rsidP="00217675">
            <w:pPr>
              <w:rPr>
                <w:rFonts w:cs="Arial"/>
                <w:noProof/>
                <w:sz w:val="20"/>
              </w:rPr>
            </w:pPr>
            <w:r>
              <w:rPr>
                <w:rFonts w:cs="Arial"/>
                <w:noProof/>
                <w:sz w:val="20"/>
              </w:rPr>
              <w:drawing>
                <wp:inline distT="0" distB="0" distL="0" distR="0" wp14:anchorId="4552DB2A" wp14:editId="4552DB2B">
                  <wp:extent cx="440055" cy="5092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85" w14:textId="77777777" w:rsidR="005E6FBB" w:rsidRDefault="005E6FBB" w:rsidP="00217675">
            <w:pPr>
              <w:ind w:left="11" w:hanging="259"/>
              <w:rPr>
                <w:rFonts w:cs="Arial"/>
                <w:sz w:val="20"/>
              </w:rPr>
            </w:pPr>
            <w:r>
              <w:rPr>
                <w:rFonts w:cs="Arial"/>
                <w:sz w:val="20"/>
              </w:rPr>
              <w:t>1  14. Carry out an annual User Survey across both Councils to monitor satisfaction with the procurement service.  Target 90% Satisfaction</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86" w14:textId="77777777" w:rsidR="005E6FBB" w:rsidRDefault="005E6FBB" w:rsidP="00217675">
            <w:pPr>
              <w:spacing w:before="100" w:beforeAutospacing="1" w:after="100" w:afterAutospacing="1"/>
              <w:rPr>
                <w:rFonts w:cs="Arial"/>
                <w:sz w:val="20"/>
              </w:rPr>
            </w:pPr>
            <w:r>
              <w:rPr>
                <w:rFonts w:cs="Arial"/>
                <w:sz w:val="20"/>
              </w:rPr>
              <w:t>100% satisfaction achieved in each of the last three surveys</w:t>
            </w:r>
          </w:p>
        </w:tc>
      </w:tr>
    </w:tbl>
    <w:p w14:paraId="4552DA88" w14:textId="77777777" w:rsidR="005E6FBB" w:rsidRDefault="005E6FBB" w:rsidP="005E6FBB">
      <w:pPr>
        <w:spacing w:after="200" w:line="276" w:lineRule="auto"/>
        <w:rPr>
          <w:rFonts w:ascii="Calibri" w:eastAsia="Calibri" w:hAnsi="Calibri"/>
          <w:b/>
          <w:sz w:val="24"/>
          <w:szCs w:val="24"/>
          <w:lang w:eastAsia="en-US"/>
        </w:rPr>
      </w:pPr>
    </w:p>
    <w:p w14:paraId="4552DA89" w14:textId="77777777" w:rsidR="005E6FBB" w:rsidRDefault="005E6FBB" w:rsidP="005E6FBB">
      <w:pPr>
        <w:tabs>
          <w:tab w:val="left" w:pos="6045"/>
        </w:tabs>
        <w:rPr>
          <w:rFonts w:ascii="Tahoma" w:hAnsi="Tahoma" w:cs="Arial"/>
          <w:b/>
          <w:bCs/>
          <w:color w:val="000080"/>
          <w:sz w:val="24"/>
          <w:szCs w:val="24"/>
        </w:rPr>
      </w:pPr>
      <w:r>
        <w:rPr>
          <w:rFonts w:ascii="Tahoma" w:hAnsi="Tahoma" w:cs="Arial"/>
          <w:b/>
          <w:bCs/>
          <w:color w:val="000080"/>
          <w:sz w:val="24"/>
          <w:szCs w:val="24"/>
        </w:rPr>
        <w:t>Procurement that is inclusive, sustainable and socially responsible</w:t>
      </w:r>
    </w:p>
    <w:p w14:paraId="4552DA8A" w14:textId="77777777" w:rsidR="005E6FBB" w:rsidRDefault="005E6FBB" w:rsidP="005E6FBB">
      <w:pPr>
        <w:tabs>
          <w:tab w:val="left" w:pos="6045"/>
        </w:tabs>
        <w:rPr>
          <w:rFonts w:ascii="Tahoma" w:hAnsi="Tahoma" w:cs="Arial"/>
          <w:b/>
          <w:bCs/>
          <w:color w:val="000080"/>
          <w:sz w:val="24"/>
          <w:szCs w:val="24"/>
        </w:rPr>
      </w:pPr>
      <w:r>
        <w:rPr>
          <w:rFonts w:ascii="Tahoma" w:hAnsi="Tahoma" w:cs="Arial"/>
          <w:b/>
          <w:bCs/>
          <w:color w:val="000080"/>
          <w:sz w:val="24"/>
          <w:szCs w:val="24"/>
        </w:rPr>
        <w:tab/>
      </w:r>
    </w:p>
    <w:tbl>
      <w:tblPr>
        <w:tblW w:w="5054" w:type="pct"/>
        <w:tblCellMar>
          <w:left w:w="0" w:type="dxa"/>
          <w:right w:w="0" w:type="dxa"/>
        </w:tblCellMar>
        <w:tblLook w:val="04A0" w:firstRow="1" w:lastRow="0" w:firstColumn="1" w:lastColumn="0" w:noHBand="0" w:noVBand="1"/>
      </w:tblPr>
      <w:tblGrid>
        <w:gridCol w:w="9962"/>
      </w:tblGrid>
      <w:tr w:rsidR="005E6FBB" w14:paraId="4552DA8C"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0080C0"/>
            <w:tcMar>
              <w:top w:w="109" w:type="dxa"/>
              <w:left w:w="109" w:type="dxa"/>
              <w:bottom w:w="109" w:type="dxa"/>
              <w:right w:w="109" w:type="dxa"/>
            </w:tcMar>
            <w:vAlign w:val="bottom"/>
            <w:hideMark/>
          </w:tcPr>
          <w:p w14:paraId="4552DA8B" w14:textId="77777777" w:rsidR="005E6FBB" w:rsidRDefault="005E6FBB" w:rsidP="00217675">
            <w:pPr>
              <w:spacing w:before="100" w:beforeAutospacing="1" w:after="100" w:afterAutospacing="1"/>
              <w:jc w:val="both"/>
              <w:rPr>
                <w:rFonts w:cs="Arial"/>
                <w:b/>
                <w:bCs/>
                <w:color w:val="FFFFFF"/>
                <w:sz w:val="20"/>
              </w:rPr>
            </w:pPr>
            <w:r>
              <w:rPr>
                <w:rFonts w:cs="Arial"/>
                <w:b/>
                <w:bCs/>
                <w:color w:val="FFFFFF"/>
                <w:sz w:val="20"/>
              </w:rPr>
              <w:t>Our Priority Objectives</w:t>
            </w:r>
          </w:p>
        </w:tc>
      </w:tr>
      <w:tr w:rsidR="005E6FBB" w14:paraId="4552DA8E"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4552DA8D" w14:textId="77777777" w:rsidR="005E6FBB" w:rsidRDefault="005E6FBB" w:rsidP="00217675">
            <w:pPr>
              <w:spacing w:after="200" w:line="276" w:lineRule="auto"/>
              <w:rPr>
                <w:rFonts w:eastAsia="Calibri" w:cs="Arial"/>
                <w:sz w:val="20"/>
                <w:lang w:eastAsia="en-US"/>
              </w:rPr>
            </w:pPr>
            <w:r>
              <w:rPr>
                <w:rFonts w:eastAsia="Calibri" w:cs="Arial"/>
                <w:sz w:val="20"/>
                <w:lang w:eastAsia="en-US"/>
              </w:rPr>
              <w:t>7. To encourage a wide range of suppliers by removing barriers and improving access to our procurement opportunities.</w:t>
            </w:r>
          </w:p>
        </w:tc>
      </w:tr>
      <w:tr w:rsidR="005E6FBB" w14:paraId="4552DA90"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4552DA8F" w14:textId="77777777" w:rsidR="005E6FBB" w:rsidRDefault="005E6FBB" w:rsidP="00217675">
            <w:pPr>
              <w:spacing w:after="200" w:line="276" w:lineRule="auto"/>
              <w:rPr>
                <w:rFonts w:eastAsia="Calibri" w:cs="Arial"/>
                <w:sz w:val="20"/>
                <w:lang w:eastAsia="en-US"/>
              </w:rPr>
            </w:pPr>
            <w:r>
              <w:rPr>
                <w:rFonts w:eastAsia="Calibri" w:cs="Arial"/>
                <w:sz w:val="20"/>
                <w:lang w:eastAsia="en-US"/>
              </w:rPr>
              <w:t>8. To ensure that small firms are not unfairly excluded from bidding for council business.</w:t>
            </w:r>
          </w:p>
        </w:tc>
      </w:tr>
      <w:tr w:rsidR="005E6FBB" w14:paraId="4552DA92"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4552DA91" w14:textId="77777777" w:rsidR="005E6FBB" w:rsidRDefault="005E6FBB" w:rsidP="00217675">
            <w:pPr>
              <w:spacing w:after="200" w:line="276" w:lineRule="auto"/>
              <w:rPr>
                <w:rFonts w:eastAsia="Calibri" w:cs="Arial"/>
                <w:sz w:val="20"/>
                <w:lang w:eastAsia="en-US"/>
              </w:rPr>
            </w:pPr>
            <w:r>
              <w:rPr>
                <w:rFonts w:eastAsia="Calibri" w:cs="Arial"/>
                <w:sz w:val="20"/>
                <w:lang w:eastAsia="en-US"/>
              </w:rPr>
              <w:t>9. To reduce the negative effect on the environment of the products and services we buy.</w:t>
            </w:r>
          </w:p>
        </w:tc>
      </w:tr>
      <w:tr w:rsidR="005E6FBB" w14:paraId="4552DA94"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4552DA93" w14:textId="77777777" w:rsidR="005E6FBB" w:rsidRDefault="005E6FBB" w:rsidP="00217675">
            <w:pPr>
              <w:spacing w:after="200" w:line="276" w:lineRule="auto"/>
              <w:rPr>
                <w:rFonts w:eastAsia="Calibri" w:cs="Arial"/>
                <w:sz w:val="20"/>
                <w:lang w:eastAsia="en-US"/>
              </w:rPr>
            </w:pPr>
            <w:r>
              <w:rPr>
                <w:rFonts w:eastAsia="Calibri" w:cs="Arial"/>
                <w:sz w:val="20"/>
                <w:lang w:eastAsia="en-US"/>
              </w:rPr>
              <w:t>10. To gain maximum value from procurement through consideration and inclusion of economic, environmental and social value criteria in contracts</w:t>
            </w:r>
          </w:p>
        </w:tc>
      </w:tr>
    </w:tbl>
    <w:p w14:paraId="4552DA95" w14:textId="77777777" w:rsidR="005E6FBB" w:rsidRDefault="005E6FBB" w:rsidP="005E6FBB">
      <w:pPr>
        <w:spacing w:after="200" w:line="276" w:lineRule="auto"/>
        <w:rPr>
          <w:rFonts w:ascii="Calibri" w:eastAsia="Calibri" w:hAnsi="Calibri"/>
          <w:b/>
          <w:sz w:val="24"/>
          <w:szCs w:val="24"/>
          <w:lang w:eastAsia="en-US"/>
        </w:rPr>
      </w:pPr>
    </w:p>
    <w:tbl>
      <w:tblPr>
        <w:tblW w:w="5000" w:type="pct"/>
        <w:tblCellMar>
          <w:left w:w="0" w:type="dxa"/>
          <w:right w:w="0" w:type="dxa"/>
        </w:tblCellMar>
        <w:tblLook w:val="04A0" w:firstRow="1" w:lastRow="0" w:firstColumn="1" w:lastColumn="0" w:noHBand="0" w:noVBand="1"/>
      </w:tblPr>
      <w:tblGrid>
        <w:gridCol w:w="896"/>
        <w:gridCol w:w="3569"/>
        <w:gridCol w:w="5323"/>
      </w:tblGrid>
      <w:tr w:rsidR="005E6FBB" w14:paraId="4552DA99" w14:textId="77777777" w:rsidTr="0021767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tcPr>
          <w:p w14:paraId="4552DA96" w14:textId="77777777" w:rsidR="005E6FBB" w:rsidRDefault="005E6FBB" w:rsidP="00217675">
            <w:pPr>
              <w:rPr>
                <w:rFonts w:cs="Arial"/>
                <w:b/>
                <w:bCs/>
                <w:color w:val="FFFFFF"/>
                <w:sz w:val="20"/>
              </w:rPr>
            </w:pPr>
          </w:p>
        </w:tc>
        <w:tc>
          <w:tcPr>
            <w:tcW w:w="1823" w:type="pct"/>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4552DA97"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Key Actions/Projects</w:t>
            </w:r>
          </w:p>
        </w:tc>
        <w:tc>
          <w:tcPr>
            <w:tcW w:w="2719" w:type="pct"/>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4552DA98"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Comments</w:t>
            </w:r>
          </w:p>
        </w:tc>
      </w:tr>
      <w:tr w:rsidR="005E6FBB" w14:paraId="4552DA9D"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9A" w14:textId="77777777" w:rsidR="005E6FBB" w:rsidRDefault="005E6FBB" w:rsidP="00217675">
            <w:pPr>
              <w:jc w:val="center"/>
              <w:rPr>
                <w:rFonts w:cs="Arial"/>
                <w:sz w:val="20"/>
              </w:rPr>
            </w:pPr>
            <w:r>
              <w:rPr>
                <w:rFonts w:cs="Arial"/>
                <w:noProof/>
                <w:sz w:val="20"/>
              </w:rPr>
              <w:drawing>
                <wp:inline distT="0" distB="0" distL="0" distR="0" wp14:anchorId="4552DB2C" wp14:editId="4552DB2D">
                  <wp:extent cx="440055" cy="509270"/>
                  <wp:effectExtent l="0" t="0" r="0" b="5080"/>
                  <wp:docPr id="10" name="Picture 10"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9B" w14:textId="77777777" w:rsidR="005E6FBB" w:rsidRDefault="005E6FBB" w:rsidP="00217675">
            <w:pPr>
              <w:tabs>
                <w:tab w:val="num" w:pos="118"/>
              </w:tabs>
              <w:spacing w:before="100" w:beforeAutospacing="1" w:after="100" w:afterAutospacing="1"/>
              <w:ind w:left="259" w:hanging="259"/>
              <w:rPr>
                <w:rFonts w:cs="Arial"/>
                <w:sz w:val="20"/>
              </w:rPr>
            </w:pPr>
            <w:r>
              <w:rPr>
                <w:rFonts w:cs="Arial"/>
                <w:sz w:val="20"/>
              </w:rPr>
              <w:t>15.Balance local needs, environmental and social value factors with delivering value for money and ensure relevant procurement exercises incorporate sustainability as appropriate within the specification and evaluation criteria</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9C" w14:textId="77777777" w:rsidR="005E6FBB" w:rsidRDefault="005E6FBB" w:rsidP="00217675">
            <w:pPr>
              <w:spacing w:before="100" w:beforeAutospacing="1" w:after="100" w:afterAutospacing="1"/>
              <w:rPr>
                <w:rFonts w:cs="Arial"/>
                <w:sz w:val="20"/>
              </w:rPr>
            </w:pPr>
            <w:r>
              <w:rPr>
                <w:rFonts w:cs="Arial"/>
                <w:sz w:val="20"/>
              </w:rPr>
              <w:t>Examples include vehicles, regeneration projects and services contracts.</w:t>
            </w:r>
          </w:p>
        </w:tc>
      </w:tr>
      <w:tr w:rsidR="005E6FBB" w14:paraId="4552DAA2"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9E" w14:textId="77777777" w:rsidR="005E6FBB" w:rsidRDefault="005E6FBB" w:rsidP="00217675">
            <w:pPr>
              <w:rPr>
                <w:b/>
                <w:color w:val="FFCC00"/>
                <w:sz w:val="72"/>
                <w:szCs w:val="72"/>
              </w:rPr>
            </w:pPr>
            <w:r>
              <w:rPr>
                <w:rFonts w:cs="Arial"/>
                <w:noProof/>
                <w:sz w:val="20"/>
              </w:rPr>
              <w:drawing>
                <wp:inline distT="0" distB="0" distL="0" distR="0" wp14:anchorId="4552DB2E" wp14:editId="4552DB2F">
                  <wp:extent cx="440055" cy="509270"/>
                  <wp:effectExtent l="0" t="0" r="0" b="5080"/>
                  <wp:docPr id="9" name="Picture 9"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p w14:paraId="4552DA9F" w14:textId="77777777" w:rsidR="005E6FBB" w:rsidRDefault="005E6FBB" w:rsidP="00217675">
            <w:pPr>
              <w:jc w:val="center"/>
              <w:rPr>
                <w:rFonts w:cs="Arial"/>
                <w:sz w:val="20"/>
              </w:rPr>
            </w:pP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A0" w14:textId="77777777" w:rsidR="005E6FBB" w:rsidRDefault="005E6FBB" w:rsidP="00217675">
            <w:pPr>
              <w:tabs>
                <w:tab w:val="num" w:pos="118"/>
              </w:tabs>
              <w:spacing w:before="100" w:beforeAutospacing="1" w:after="100" w:afterAutospacing="1"/>
              <w:ind w:left="259" w:hanging="259"/>
              <w:rPr>
                <w:rFonts w:cs="Arial"/>
                <w:sz w:val="20"/>
              </w:rPr>
            </w:pPr>
            <w:r>
              <w:rPr>
                <w:rFonts w:cs="Arial"/>
                <w:sz w:val="20"/>
              </w:rPr>
              <w:t>16.Consider how best to obtain social value in all services contracts above the EU threshold.</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52DAA1" w14:textId="77777777" w:rsidR="005E6FBB" w:rsidRDefault="005E6FBB" w:rsidP="00217675">
            <w:pPr>
              <w:spacing w:before="100" w:beforeAutospacing="1" w:after="100" w:afterAutospacing="1"/>
              <w:rPr>
                <w:rFonts w:cs="Arial"/>
                <w:sz w:val="20"/>
              </w:rPr>
            </w:pPr>
            <w:r>
              <w:rPr>
                <w:rFonts w:cs="Arial"/>
                <w:sz w:val="20"/>
              </w:rPr>
              <w:t xml:space="preserve">This is considered and incorporated as appropriate. Both Councils have also included social value criteria in other below threshold contracts.  </w:t>
            </w:r>
          </w:p>
        </w:tc>
      </w:tr>
      <w:tr w:rsidR="005E6FBB" w14:paraId="4552DAAD"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A3" w14:textId="77777777" w:rsidR="005E6FBB" w:rsidRDefault="005E6FBB" w:rsidP="00217675">
            <w:pPr>
              <w:rPr>
                <w:rFonts w:cs="Arial"/>
                <w:sz w:val="20"/>
              </w:rPr>
            </w:pPr>
            <w:r>
              <w:rPr>
                <w:rFonts w:cs="Arial"/>
                <w:noProof/>
                <w:sz w:val="20"/>
              </w:rPr>
              <w:lastRenderedPageBreak/>
              <w:drawing>
                <wp:inline distT="0" distB="0" distL="0" distR="0" wp14:anchorId="4552DB30" wp14:editId="4552DB31">
                  <wp:extent cx="440055" cy="509270"/>
                  <wp:effectExtent l="0" t="0" r="0" b="5080"/>
                  <wp:docPr id="8" name="Picture 8"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A4" w14:textId="77777777" w:rsidR="005E6FBB" w:rsidRDefault="005E6FBB" w:rsidP="00217675">
            <w:pPr>
              <w:rPr>
                <w:rFonts w:cs="Arial"/>
                <w:sz w:val="20"/>
              </w:rPr>
            </w:pPr>
            <w:r>
              <w:rPr>
                <w:rFonts w:cs="Arial"/>
                <w:sz w:val="20"/>
              </w:rPr>
              <w:t>17.Wherever possible and practical (within legal constraints), support local and third sector suppliers by encouraging them to engage in appropriate procurement exercises.</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A5" w14:textId="77777777" w:rsidR="005E6FBB" w:rsidRDefault="005E6FBB" w:rsidP="00217675">
            <w:pPr>
              <w:spacing w:before="100" w:beforeAutospacing="1" w:after="100" w:afterAutospacing="1"/>
              <w:rPr>
                <w:rFonts w:cs="Arial"/>
                <w:sz w:val="20"/>
              </w:rPr>
            </w:pPr>
            <w:r>
              <w:rPr>
                <w:rFonts w:cs="Arial"/>
                <w:sz w:val="20"/>
              </w:rPr>
              <w:t>A number of arrangements are in place to make the Council’s procurement opportunities widely available and accessible to local suppliers , SME’s  and third sector providers including:</w:t>
            </w:r>
          </w:p>
          <w:p w14:paraId="4552DAA6" w14:textId="77777777" w:rsidR="005E6FBB" w:rsidRDefault="005E6FBB" w:rsidP="00217675">
            <w:pPr>
              <w:spacing w:before="100" w:beforeAutospacing="1" w:after="100" w:afterAutospacing="1"/>
              <w:rPr>
                <w:rFonts w:cs="Arial"/>
                <w:sz w:val="20"/>
              </w:rPr>
            </w:pPr>
            <w:r>
              <w:rPr>
                <w:rFonts w:cs="Arial"/>
                <w:sz w:val="20"/>
              </w:rPr>
              <w:t xml:space="preserve">•publication of a Selling to the Council Guide, </w:t>
            </w:r>
          </w:p>
          <w:p w14:paraId="4552DAA7" w14:textId="77777777" w:rsidR="005E6FBB" w:rsidRDefault="005E6FBB" w:rsidP="00217675">
            <w:pPr>
              <w:spacing w:before="100" w:beforeAutospacing="1" w:after="100" w:afterAutospacing="1"/>
              <w:rPr>
                <w:rFonts w:cs="Arial"/>
                <w:sz w:val="20"/>
              </w:rPr>
            </w:pPr>
            <w:r>
              <w:rPr>
                <w:rFonts w:cs="Arial"/>
                <w:sz w:val="20"/>
              </w:rPr>
              <w:t xml:space="preserve">•use of the Chest e-tendering system (which is free of charge for suppliers) with information and a link to the Chest on the Council’s web site. </w:t>
            </w:r>
          </w:p>
          <w:p w14:paraId="4552DAA8" w14:textId="77777777" w:rsidR="005E6FBB" w:rsidRDefault="005E6FBB" w:rsidP="00217675">
            <w:pPr>
              <w:spacing w:before="100" w:beforeAutospacing="1" w:after="100" w:afterAutospacing="1"/>
              <w:rPr>
                <w:rFonts w:cs="Arial"/>
                <w:sz w:val="20"/>
              </w:rPr>
            </w:pPr>
            <w:r>
              <w:rPr>
                <w:rFonts w:cs="Arial"/>
                <w:sz w:val="20"/>
              </w:rPr>
              <w:t xml:space="preserve">•inviting at least one local supplier (often more) wherever possible when inviting quotes.  This is a requirement of both Councils Contracts Procedure Rules, </w:t>
            </w:r>
          </w:p>
          <w:p w14:paraId="4552DAA9" w14:textId="77777777" w:rsidR="005E6FBB" w:rsidRDefault="005E6FBB" w:rsidP="00217675">
            <w:pPr>
              <w:spacing w:before="100" w:beforeAutospacing="1" w:after="100" w:afterAutospacing="1"/>
              <w:rPr>
                <w:rFonts w:cs="Arial"/>
                <w:sz w:val="20"/>
              </w:rPr>
            </w:pPr>
            <w:r>
              <w:rPr>
                <w:rFonts w:cs="Arial"/>
                <w:sz w:val="20"/>
              </w:rPr>
              <w:t>Additionally, during the life of this strategy the procurement team have attended and presented at a business event for local suppliers hosted by SRBC and have also provided information for a subsequent Central Lancs event.</w:t>
            </w:r>
          </w:p>
          <w:p w14:paraId="4552DAAA" w14:textId="77777777" w:rsidR="005E6FBB" w:rsidRDefault="005E6FBB" w:rsidP="00217675">
            <w:pPr>
              <w:spacing w:before="100" w:beforeAutospacing="1" w:after="100" w:afterAutospacing="1"/>
              <w:rPr>
                <w:rFonts w:cs="Arial"/>
                <w:sz w:val="20"/>
              </w:rPr>
            </w:pPr>
            <w:r>
              <w:rPr>
                <w:rFonts w:cs="Arial"/>
                <w:sz w:val="20"/>
              </w:rPr>
              <w:t>Examples of contracts with the VCFS sector include: SRBC : Provision of housing advice (Key), Interim, Accommodation (New Progress H.A.), A Place to Live (Methodist Action), Specialist Intensive support (Refugee Action), Sanctuary Scheme (Preston Care &amp; Repair)</w:t>
            </w:r>
          </w:p>
          <w:p w14:paraId="4552DAAB" w14:textId="77777777" w:rsidR="005E6FBB" w:rsidRDefault="005E6FBB" w:rsidP="00217675">
            <w:pPr>
              <w:spacing w:before="100" w:beforeAutospacing="1" w:after="100" w:afterAutospacing="1"/>
              <w:rPr>
                <w:rFonts w:cs="Arial"/>
                <w:sz w:val="20"/>
              </w:rPr>
            </w:pPr>
            <w:r>
              <w:rPr>
                <w:rFonts w:cs="Arial"/>
                <w:sz w:val="20"/>
              </w:rPr>
              <w:t>CBC: Indoor Leisure (Active Nation), Handyperson services (Preston Care and Repair), Young person drop in service (Key), Support service for older people (Age UK), Children’s &amp; family support service (Home Start Central Lancs), Support service for vulnerable adults, women (Chorley Women’s Centre)</w:t>
            </w:r>
          </w:p>
          <w:p w14:paraId="4552DAAC" w14:textId="77777777" w:rsidR="005E6FBB" w:rsidRDefault="005E6FBB" w:rsidP="00217675">
            <w:pPr>
              <w:spacing w:before="100" w:beforeAutospacing="1" w:after="100" w:afterAutospacing="1"/>
              <w:rPr>
                <w:rFonts w:cs="Arial"/>
                <w:sz w:val="20"/>
              </w:rPr>
            </w:pPr>
          </w:p>
        </w:tc>
      </w:tr>
      <w:tr w:rsidR="005E6FBB" w14:paraId="4552DAB1"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AE" w14:textId="77777777" w:rsidR="005E6FBB" w:rsidRDefault="005E6FBB" w:rsidP="00217675">
            <w:pPr>
              <w:rPr>
                <w:rFonts w:cs="Arial"/>
                <w:noProof/>
                <w:sz w:val="20"/>
              </w:rPr>
            </w:pPr>
            <w:r>
              <w:rPr>
                <w:rFonts w:cs="Arial"/>
                <w:noProof/>
                <w:sz w:val="20"/>
              </w:rPr>
              <w:drawing>
                <wp:inline distT="0" distB="0" distL="0" distR="0" wp14:anchorId="4552DB32" wp14:editId="4552DB33">
                  <wp:extent cx="440055" cy="509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AF" w14:textId="77777777" w:rsidR="005E6FBB" w:rsidRDefault="005E6FBB" w:rsidP="00217675">
            <w:pPr>
              <w:rPr>
                <w:rFonts w:cs="Arial"/>
                <w:sz w:val="20"/>
              </w:rPr>
            </w:pPr>
            <w:r>
              <w:rPr>
                <w:rFonts w:cs="Arial"/>
                <w:sz w:val="20"/>
              </w:rPr>
              <w:t>18. Maintain an up to date Selling to the Council Guide and procurement area on the Councils’ respective websites, providing simple and clear instructions on how to access procurement opportunities and signposting suppliers to the Council’s e-procurement portal.</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B0" w14:textId="77777777" w:rsidR="005E6FBB" w:rsidRDefault="005E6FBB" w:rsidP="00217675">
            <w:pPr>
              <w:spacing w:before="100" w:beforeAutospacing="1" w:after="100" w:afterAutospacing="1"/>
              <w:rPr>
                <w:rFonts w:cs="Arial"/>
                <w:sz w:val="20"/>
              </w:rPr>
            </w:pPr>
            <w:r>
              <w:rPr>
                <w:rFonts w:cs="Arial"/>
                <w:sz w:val="20"/>
              </w:rPr>
              <w:t>Published on both CBC and SRBC websites,</w:t>
            </w:r>
          </w:p>
        </w:tc>
      </w:tr>
      <w:tr w:rsidR="005E6FBB" w14:paraId="4552DAB5"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B2" w14:textId="77777777" w:rsidR="005E6FBB" w:rsidRDefault="005E6FBB" w:rsidP="00217675">
            <w:pPr>
              <w:rPr>
                <w:rFonts w:cs="Arial"/>
                <w:noProof/>
                <w:sz w:val="20"/>
              </w:rPr>
            </w:pPr>
            <w:r>
              <w:rPr>
                <w:rFonts w:cs="Arial"/>
                <w:noProof/>
                <w:sz w:val="20"/>
              </w:rPr>
              <w:drawing>
                <wp:inline distT="0" distB="0" distL="0" distR="0" wp14:anchorId="4552DB34" wp14:editId="4552DB35">
                  <wp:extent cx="440055" cy="509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B3" w14:textId="77777777" w:rsidR="005E6FBB" w:rsidRDefault="005E6FBB" w:rsidP="00217675">
            <w:pPr>
              <w:ind w:left="11" w:hanging="259"/>
              <w:rPr>
                <w:rFonts w:cs="Arial"/>
                <w:sz w:val="20"/>
              </w:rPr>
            </w:pPr>
            <w:r>
              <w:rPr>
                <w:rFonts w:cs="Arial"/>
                <w:sz w:val="20"/>
              </w:rPr>
              <w:t xml:space="preserve">     19. Ensure that procurement mandatory Transparency requirements are adhered to including publication of a Contracts Register</w:t>
            </w:r>
          </w:p>
        </w:tc>
        <w:tc>
          <w:tcPr>
            <w:tcW w:w="271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B4" w14:textId="77777777" w:rsidR="005E6FBB" w:rsidRDefault="005E6FBB" w:rsidP="00217675">
            <w:pPr>
              <w:spacing w:before="100" w:beforeAutospacing="1" w:after="100" w:afterAutospacing="1"/>
              <w:rPr>
                <w:rFonts w:cs="Arial"/>
                <w:sz w:val="20"/>
              </w:rPr>
            </w:pPr>
            <w:r>
              <w:rPr>
                <w:rFonts w:cs="Arial"/>
                <w:sz w:val="20"/>
              </w:rPr>
              <w:t>Updated register published quarterly on both CBC and SRBC websites.</w:t>
            </w:r>
          </w:p>
        </w:tc>
      </w:tr>
    </w:tbl>
    <w:p w14:paraId="4552DAB6" w14:textId="77777777" w:rsidR="005E6FBB" w:rsidRDefault="005E6FBB" w:rsidP="005E6FBB">
      <w:pPr>
        <w:spacing w:after="200" w:line="276" w:lineRule="auto"/>
        <w:rPr>
          <w:rFonts w:ascii="Calibri" w:eastAsia="Calibri" w:hAnsi="Calibri"/>
          <w:b/>
          <w:sz w:val="24"/>
          <w:szCs w:val="24"/>
          <w:lang w:eastAsia="en-US"/>
        </w:rPr>
      </w:pPr>
    </w:p>
    <w:p w14:paraId="4552DAB7" w14:textId="77777777" w:rsidR="005E6FBB" w:rsidRDefault="005E6FBB" w:rsidP="005E6FBB">
      <w:pPr>
        <w:tabs>
          <w:tab w:val="left" w:pos="6045"/>
        </w:tabs>
        <w:rPr>
          <w:rFonts w:ascii="Tahoma" w:hAnsi="Tahoma" w:cs="Arial"/>
          <w:b/>
          <w:bCs/>
          <w:color w:val="000080"/>
          <w:sz w:val="24"/>
          <w:szCs w:val="24"/>
        </w:rPr>
      </w:pPr>
      <w:r>
        <w:rPr>
          <w:rFonts w:ascii="Tahoma" w:hAnsi="Tahoma" w:cs="Arial"/>
          <w:b/>
          <w:bCs/>
          <w:color w:val="000080"/>
          <w:sz w:val="24"/>
          <w:szCs w:val="24"/>
        </w:rPr>
        <w:br w:type="page"/>
      </w:r>
      <w:r>
        <w:rPr>
          <w:rFonts w:ascii="Tahoma" w:hAnsi="Tahoma" w:cs="Arial"/>
          <w:b/>
          <w:bCs/>
          <w:color w:val="000080"/>
          <w:sz w:val="24"/>
          <w:szCs w:val="24"/>
        </w:rPr>
        <w:lastRenderedPageBreak/>
        <w:t>Procurement that works with partners and suppliers to everyone’s advantage and exploits the benefits of technology</w:t>
      </w:r>
      <w:r>
        <w:rPr>
          <w:rFonts w:ascii="Tahoma" w:hAnsi="Tahoma" w:cs="Arial"/>
          <w:b/>
          <w:bCs/>
          <w:color w:val="000080"/>
          <w:sz w:val="24"/>
          <w:szCs w:val="24"/>
        </w:rPr>
        <w:tab/>
      </w:r>
    </w:p>
    <w:p w14:paraId="4552DAB8" w14:textId="77777777" w:rsidR="005E6FBB" w:rsidRDefault="005E6FBB" w:rsidP="005E6FBB">
      <w:pPr>
        <w:tabs>
          <w:tab w:val="left" w:pos="6045"/>
        </w:tabs>
        <w:rPr>
          <w:rFonts w:ascii="Tahoma" w:hAnsi="Tahoma" w:cs="Arial"/>
          <w:b/>
          <w:bCs/>
          <w:color w:val="000080"/>
          <w:sz w:val="24"/>
          <w:szCs w:val="24"/>
        </w:rPr>
      </w:pPr>
    </w:p>
    <w:tbl>
      <w:tblPr>
        <w:tblW w:w="5054" w:type="pct"/>
        <w:tblCellMar>
          <w:left w:w="0" w:type="dxa"/>
          <w:right w:w="0" w:type="dxa"/>
        </w:tblCellMar>
        <w:tblLook w:val="04A0" w:firstRow="1" w:lastRow="0" w:firstColumn="1" w:lastColumn="0" w:noHBand="0" w:noVBand="1"/>
      </w:tblPr>
      <w:tblGrid>
        <w:gridCol w:w="9962"/>
      </w:tblGrid>
      <w:tr w:rsidR="005E6FBB" w14:paraId="4552DABA"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0080C0"/>
            <w:tcMar>
              <w:top w:w="109" w:type="dxa"/>
              <w:left w:w="109" w:type="dxa"/>
              <w:bottom w:w="109" w:type="dxa"/>
              <w:right w:w="109" w:type="dxa"/>
            </w:tcMar>
            <w:vAlign w:val="bottom"/>
            <w:hideMark/>
          </w:tcPr>
          <w:p w14:paraId="4552DAB9" w14:textId="77777777" w:rsidR="005E6FBB" w:rsidRDefault="005E6FBB" w:rsidP="00217675">
            <w:pPr>
              <w:spacing w:before="100" w:beforeAutospacing="1" w:after="100" w:afterAutospacing="1"/>
              <w:jc w:val="both"/>
              <w:rPr>
                <w:rFonts w:cs="Arial"/>
                <w:b/>
                <w:bCs/>
                <w:color w:val="FFFFFF"/>
                <w:sz w:val="20"/>
              </w:rPr>
            </w:pPr>
            <w:r>
              <w:rPr>
                <w:rFonts w:cs="Arial"/>
                <w:b/>
                <w:bCs/>
                <w:color w:val="FFFFFF"/>
                <w:sz w:val="20"/>
              </w:rPr>
              <w:t>Our Priority Objectives</w:t>
            </w:r>
          </w:p>
        </w:tc>
      </w:tr>
      <w:tr w:rsidR="005E6FBB" w14:paraId="4552DABC"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4552DABB" w14:textId="77777777" w:rsidR="005E6FBB" w:rsidRDefault="005E6FBB" w:rsidP="00217675">
            <w:pPr>
              <w:spacing w:after="200" w:line="276" w:lineRule="auto"/>
              <w:rPr>
                <w:rFonts w:eastAsia="Calibri" w:cs="Arial"/>
                <w:sz w:val="20"/>
                <w:lang w:eastAsia="en-US"/>
              </w:rPr>
            </w:pPr>
            <w:r>
              <w:rPr>
                <w:rFonts w:eastAsia="Calibri" w:cs="Arial"/>
                <w:sz w:val="20"/>
                <w:lang w:eastAsia="en-US"/>
              </w:rPr>
              <w:t>11.To increase efficiency and productivity and realise full benefits through the use of appropriate e-procurement solutions in procurement processes</w:t>
            </w:r>
          </w:p>
        </w:tc>
      </w:tr>
      <w:tr w:rsidR="005E6FBB" w14:paraId="4552DABE" w14:textId="77777777" w:rsidTr="00217675">
        <w:tc>
          <w:tcPr>
            <w:tcW w:w="5000" w:type="pct"/>
            <w:tcBorders>
              <w:top w:val="single" w:sz="8" w:space="0" w:color="000000"/>
              <w:left w:val="single" w:sz="8" w:space="0" w:color="000000"/>
              <w:bottom w:val="single" w:sz="8" w:space="0" w:color="000000"/>
              <w:right w:val="single" w:sz="8" w:space="0" w:color="000000"/>
            </w:tcBorders>
            <w:shd w:val="clear" w:color="auto" w:fill="E6E6E6"/>
            <w:tcMar>
              <w:top w:w="22" w:type="dxa"/>
              <w:left w:w="109" w:type="dxa"/>
              <w:bottom w:w="22" w:type="dxa"/>
              <w:right w:w="109" w:type="dxa"/>
            </w:tcMar>
            <w:hideMark/>
          </w:tcPr>
          <w:p w14:paraId="4552DABD" w14:textId="77777777" w:rsidR="005E6FBB" w:rsidRDefault="005E6FBB" w:rsidP="00217675">
            <w:pPr>
              <w:spacing w:after="200" w:line="276" w:lineRule="auto"/>
              <w:rPr>
                <w:rFonts w:eastAsia="Calibri" w:cs="Arial"/>
                <w:sz w:val="20"/>
                <w:lang w:eastAsia="en-US"/>
              </w:rPr>
            </w:pPr>
            <w:r>
              <w:rPr>
                <w:rFonts w:eastAsia="Calibri" w:cs="Arial"/>
                <w:sz w:val="20"/>
                <w:lang w:eastAsia="en-US"/>
              </w:rPr>
              <w:t>12.To understand and take   advantage of commercial opportunities and realise benefits from all funding streams including how contracts can be developed to generate income..</w:t>
            </w:r>
          </w:p>
        </w:tc>
      </w:tr>
    </w:tbl>
    <w:p w14:paraId="4552DABF" w14:textId="77777777" w:rsidR="005E6FBB" w:rsidRDefault="005E6FBB" w:rsidP="005E6FBB">
      <w:pPr>
        <w:spacing w:after="200" w:line="276" w:lineRule="auto"/>
        <w:rPr>
          <w:rFonts w:ascii="Calibri" w:eastAsia="Calibri" w:hAnsi="Calibri"/>
          <w:b/>
          <w:sz w:val="24"/>
          <w:szCs w:val="24"/>
          <w:lang w:eastAsia="en-US"/>
        </w:rPr>
      </w:pPr>
    </w:p>
    <w:tbl>
      <w:tblPr>
        <w:tblW w:w="5000" w:type="pct"/>
        <w:tblCellMar>
          <w:left w:w="0" w:type="dxa"/>
          <w:right w:w="0" w:type="dxa"/>
        </w:tblCellMar>
        <w:tblLook w:val="04A0" w:firstRow="1" w:lastRow="0" w:firstColumn="1" w:lastColumn="0" w:noHBand="0" w:noVBand="1"/>
      </w:tblPr>
      <w:tblGrid>
        <w:gridCol w:w="896"/>
        <w:gridCol w:w="3569"/>
        <w:gridCol w:w="1809"/>
        <w:gridCol w:w="6"/>
        <w:gridCol w:w="88"/>
        <w:gridCol w:w="1404"/>
        <w:gridCol w:w="18"/>
        <w:gridCol w:w="307"/>
        <w:gridCol w:w="1691"/>
      </w:tblGrid>
      <w:tr w:rsidR="005E6FBB" w14:paraId="4552DAC3" w14:textId="77777777" w:rsidTr="0021767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tcPr>
          <w:p w14:paraId="4552DAC0" w14:textId="77777777" w:rsidR="005E6FBB" w:rsidRDefault="005E6FBB" w:rsidP="00217675">
            <w:pPr>
              <w:rPr>
                <w:rFonts w:cs="Arial"/>
                <w:b/>
                <w:bCs/>
                <w:color w:val="FFFFFF"/>
                <w:sz w:val="20"/>
              </w:rPr>
            </w:pPr>
          </w:p>
        </w:tc>
        <w:tc>
          <w:tcPr>
            <w:tcW w:w="1823" w:type="pct"/>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4552DAC1"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Key Actions/Projects</w:t>
            </w:r>
          </w:p>
        </w:tc>
        <w:tc>
          <w:tcPr>
            <w:tcW w:w="2719" w:type="pct"/>
            <w:gridSpan w:val="7"/>
            <w:tcBorders>
              <w:top w:val="single" w:sz="6" w:space="0" w:color="000000"/>
              <w:left w:val="single" w:sz="6" w:space="0" w:color="000000"/>
              <w:bottom w:val="single" w:sz="6" w:space="0" w:color="000000"/>
              <w:right w:val="single" w:sz="6" w:space="0" w:color="000000"/>
            </w:tcBorders>
            <w:shd w:val="clear" w:color="auto" w:fill="0080C0"/>
            <w:tcMar>
              <w:top w:w="75" w:type="dxa"/>
              <w:left w:w="75" w:type="dxa"/>
              <w:bottom w:w="75" w:type="dxa"/>
              <w:right w:w="75" w:type="dxa"/>
            </w:tcMar>
            <w:vAlign w:val="bottom"/>
            <w:hideMark/>
          </w:tcPr>
          <w:p w14:paraId="4552DAC2" w14:textId="77777777" w:rsidR="005E6FBB" w:rsidRDefault="005E6FBB" w:rsidP="00217675">
            <w:pPr>
              <w:spacing w:before="100" w:beforeAutospacing="1" w:after="100" w:afterAutospacing="1"/>
              <w:rPr>
                <w:rFonts w:cs="Arial"/>
                <w:b/>
                <w:bCs/>
                <w:color w:val="FFFFFF"/>
                <w:sz w:val="20"/>
              </w:rPr>
            </w:pPr>
            <w:r>
              <w:rPr>
                <w:rFonts w:cs="Arial"/>
                <w:b/>
                <w:bCs/>
                <w:color w:val="FFFFFF"/>
                <w:sz w:val="20"/>
              </w:rPr>
              <w:t>Comments</w:t>
            </w:r>
          </w:p>
        </w:tc>
      </w:tr>
      <w:tr w:rsidR="005E6FBB" w14:paraId="4552DAC7"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C4" w14:textId="77777777" w:rsidR="005E6FBB" w:rsidRDefault="005E6FBB" w:rsidP="00217675">
            <w:pPr>
              <w:jc w:val="center"/>
              <w:rPr>
                <w:rFonts w:cs="Arial"/>
                <w:sz w:val="20"/>
              </w:rPr>
            </w:pPr>
            <w:r>
              <w:rPr>
                <w:rFonts w:cs="Arial"/>
                <w:noProof/>
                <w:sz w:val="20"/>
              </w:rPr>
              <w:drawing>
                <wp:inline distT="0" distB="0" distL="0" distR="0" wp14:anchorId="4552DB36" wp14:editId="4552DB37">
                  <wp:extent cx="440055" cy="509270"/>
                  <wp:effectExtent l="0" t="0" r="0" b="5080"/>
                  <wp:docPr id="5" name="Picture 5"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C5" w14:textId="77777777" w:rsidR="005E6FBB" w:rsidRDefault="005E6FBB" w:rsidP="00217675">
            <w:pPr>
              <w:tabs>
                <w:tab w:val="num" w:pos="118"/>
              </w:tabs>
              <w:spacing w:before="100" w:beforeAutospacing="1" w:after="100" w:afterAutospacing="1"/>
              <w:rPr>
                <w:rFonts w:cs="Arial"/>
                <w:sz w:val="20"/>
              </w:rPr>
            </w:pPr>
            <w:r>
              <w:rPr>
                <w:rFonts w:cs="Arial"/>
                <w:sz w:val="20"/>
              </w:rPr>
              <w:t>20. Issue all Tender and Quotations above £10,000 through the North West’s regional e-procurement portal “The Chest”</w:t>
            </w:r>
          </w:p>
        </w:tc>
        <w:tc>
          <w:tcPr>
            <w:tcW w:w="2719" w:type="pct"/>
            <w:gridSpan w:val="7"/>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C6" w14:textId="77777777" w:rsidR="005E6FBB" w:rsidRDefault="005E6FBB" w:rsidP="00217675">
            <w:pPr>
              <w:spacing w:before="100" w:beforeAutospacing="1" w:after="100" w:afterAutospacing="1"/>
              <w:rPr>
                <w:rFonts w:cs="Arial"/>
                <w:sz w:val="20"/>
              </w:rPr>
            </w:pPr>
            <w:r>
              <w:rPr>
                <w:rFonts w:cs="Arial"/>
                <w:sz w:val="20"/>
              </w:rPr>
              <w:t>Tenders and quotation above £10,000 have been published through the Chest portal in accordance with Contracts Procedure Rules.  SRBC updated their CPR’s with effect from 28.9.17 and at that point this threshold increased from £10,000 to £20,000 at SRBC only.</w:t>
            </w:r>
          </w:p>
        </w:tc>
      </w:tr>
      <w:tr w:rsidR="005E6FBB" w14:paraId="4552DACC"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C8" w14:textId="77777777" w:rsidR="005E6FBB" w:rsidRDefault="005E6FBB" w:rsidP="00217675">
            <w:pPr>
              <w:rPr>
                <w:b/>
                <w:color w:val="FFCC00"/>
                <w:sz w:val="72"/>
                <w:szCs w:val="72"/>
              </w:rPr>
            </w:pPr>
            <w:r>
              <w:rPr>
                <w:rFonts w:cs="Arial"/>
                <w:noProof/>
                <w:sz w:val="20"/>
              </w:rPr>
              <w:drawing>
                <wp:inline distT="0" distB="0" distL="0" distR="0" wp14:anchorId="4552DB38" wp14:editId="4552DB39">
                  <wp:extent cx="440055" cy="509270"/>
                  <wp:effectExtent l="0" t="0" r="0" b="5080"/>
                  <wp:docPr id="3" name="Picture 3"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p w14:paraId="4552DAC9" w14:textId="77777777" w:rsidR="005E6FBB" w:rsidRDefault="005E6FBB" w:rsidP="00217675">
            <w:pPr>
              <w:jc w:val="center"/>
              <w:rPr>
                <w:rFonts w:cs="Arial"/>
                <w:sz w:val="20"/>
              </w:rPr>
            </w:pP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CA" w14:textId="77777777" w:rsidR="005E6FBB" w:rsidRDefault="005E6FBB" w:rsidP="00217675">
            <w:pPr>
              <w:tabs>
                <w:tab w:val="num" w:pos="118"/>
              </w:tabs>
              <w:spacing w:before="100" w:beforeAutospacing="1" w:after="100" w:afterAutospacing="1"/>
              <w:rPr>
                <w:rFonts w:cs="Arial"/>
                <w:sz w:val="20"/>
              </w:rPr>
            </w:pPr>
            <w:r>
              <w:rPr>
                <w:rFonts w:cs="Arial"/>
                <w:sz w:val="20"/>
              </w:rPr>
              <w:t>21. Engage in the Cumbria led regional procurement to replace the current regional e-procurement portal framework</w:t>
            </w:r>
          </w:p>
        </w:tc>
        <w:tc>
          <w:tcPr>
            <w:tcW w:w="2719" w:type="pct"/>
            <w:gridSpan w:val="7"/>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52DACB" w14:textId="77777777" w:rsidR="005E6FBB" w:rsidRDefault="005E6FBB" w:rsidP="00217675">
            <w:pPr>
              <w:spacing w:before="100" w:beforeAutospacing="1" w:after="100" w:afterAutospacing="1"/>
              <w:rPr>
                <w:rFonts w:cs="Arial"/>
                <w:sz w:val="20"/>
              </w:rPr>
            </w:pPr>
            <w:r>
              <w:rPr>
                <w:rFonts w:cs="Arial"/>
                <w:sz w:val="20"/>
              </w:rPr>
              <w:t>This was completed and a further 4 year contract with up to 4 x12 month extension options, was awarded for the Chest including migration to Version 3.</w:t>
            </w:r>
          </w:p>
        </w:tc>
      </w:tr>
      <w:tr w:rsidR="005E6FBB" w14:paraId="4552DAD1"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CD" w14:textId="77777777" w:rsidR="005E6FBB" w:rsidRDefault="005E6FBB" w:rsidP="00217675">
            <w:pPr>
              <w:rPr>
                <w:rFonts w:cs="Arial"/>
                <w:sz w:val="20"/>
              </w:rPr>
            </w:pPr>
            <w:r>
              <w:rPr>
                <w:rFonts w:cs="Arial"/>
                <w:noProof/>
                <w:sz w:val="20"/>
              </w:rPr>
              <w:drawing>
                <wp:inline distT="0" distB="0" distL="0" distR="0" wp14:anchorId="4552DB3A" wp14:editId="4552DB3B">
                  <wp:extent cx="440055" cy="509270"/>
                  <wp:effectExtent l="0" t="0" r="0" b="5080"/>
                  <wp:docPr id="2" name="Picture 2" descr="Happy Face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ppy Face 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CE" w14:textId="77777777" w:rsidR="005E6FBB" w:rsidRDefault="005E6FBB" w:rsidP="00217675">
            <w:pPr>
              <w:rPr>
                <w:rFonts w:cs="Arial"/>
                <w:sz w:val="20"/>
              </w:rPr>
            </w:pPr>
          </w:p>
          <w:p w14:paraId="4552DACF" w14:textId="77777777" w:rsidR="005E6FBB" w:rsidRDefault="005E6FBB" w:rsidP="00217675">
            <w:pPr>
              <w:rPr>
                <w:rFonts w:cs="Arial"/>
                <w:sz w:val="20"/>
              </w:rPr>
            </w:pPr>
            <w:r>
              <w:rPr>
                <w:rFonts w:cs="Arial"/>
                <w:sz w:val="20"/>
              </w:rPr>
              <w:t>22.Consider the potential for commercialisation and income generation  from procurement activity where appropriate</w:t>
            </w:r>
          </w:p>
        </w:tc>
        <w:tc>
          <w:tcPr>
            <w:tcW w:w="2719" w:type="pct"/>
            <w:gridSpan w:val="7"/>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D0" w14:textId="77777777" w:rsidR="005E6FBB" w:rsidRPr="001004EF" w:rsidRDefault="005E6FBB" w:rsidP="00217675">
            <w:pPr>
              <w:spacing w:before="100" w:beforeAutospacing="1" w:after="100" w:afterAutospacing="1"/>
              <w:rPr>
                <w:rFonts w:cs="Arial"/>
                <w:sz w:val="20"/>
              </w:rPr>
            </w:pPr>
            <w:r w:rsidRPr="001004EF">
              <w:rPr>
                <w:rFonts w:cs="Arial"/>
                <w:sz w:val="20"/>
              </w:rPr>
              <w:t xml:space="preserve">A simple example is the charging for and generation of income from garden waste through the delivery of the main waste contracts.  Also at Chorley, the procurement and expansion of Market Walk and construction of Primrose Gardens will generate income for the Council whilst providing services and benefits to the community.  At SRBC the Council is working with its waste contractor to further develop the depot and servicing facilities to facilitate operation of both the CBC and SRBC contracts from there, sharing resources, reducing costs and generating additional income. The Council has also identified investment in commercial property as an opportunity to increase income, agreed an Investment Property Strategy and has procured expert external advice to identify investment opportunities. Additionally, the procurement to upgrade the civic centre to provide quality conference meeting and function space was designed to maximise income and experience from external customers in addition to facilitating internal meetings. </w:t>
            </w:r>
          </w:p>
        </w:tc>
      </w:tr>
      <w:tr w:rsidR="005E6FBB" w14:paraId="4552DAD7"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D2" w14:textId="77777777" w:rsidR="005E6FBB" w:rsidRDefault="005E6FBB" w:rsidP="00217675">
            <w:pPr>
              <w:rPr>
                <w:rFonts w:cs="Arial"/>
                <w:noProof/>
                <w:sz w:val="20"/>
              </w:rPr>
            </w:pPr>
            <w:r>
              <w:rPr>
                <w:rFonts w:cs="Arial"/>
                <w:noProof/>
                <w:sz w:val="20"/>
              </w:rPr>
              <w:drawing>
                <wp:inline distT="0" distB="0" distL="0" distR="0" wp14:anchorId="4552DB3C" wp14:editId="4552DB3D">
                  <wp:extent cx="440055" cy="509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a:ln>
                            <a:noFill/>
                          </a:ln>
                        </pic:spPr>
                      </pic:pic>
                    </a:graphicData>
                  </a:graphic>
                </wp:inline>
              </w:drawing>
            </w: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D3" w14:textId="77777777" w:rsidR="005E6FBB" w:rsidRDefault="005E6FBB" w:rsidP="00217675">
            <w:pPr>
              <w:rPr>
                <w:rFonts w:cs="Arial"/>
                <w:sz w:val="20"/>
              </w:rPr>
            </w:pPr>
          </w:p>
          <w:p w14:paraId="4552DAD4" w14:textId="77777777" w:rsidR="005E6FBB" w:rsidRDefault="005E6FBB" w:rsidP="00217675">
            <w:pPr>
              <w:rPr>
                <w:rFonts w:cs="Arial"/>
                <w:sz w:val="20"/>
              </w:rPr>
            </w:pPr>
            <w:r>
              <w:rPr>
                <w:rFonts w:cs="Arial"/>
                <w:sz w:val="20"/>
              </w:rPr>
              <w:t>23. Upgrade scanning software to introduce Automated Invoice Processing to automatically interface any e- invoices that are attached to e-mails ( By 1.4.15)</w:t>
            </w:r>
          </w:p>
          <w:p w14:paraId="4552DAD5" w14:textId="77777777" w:rsidR="005E6FBB" w:rsidRDefault="005E6FBB" w:rsidP="00217675">
            <w:pPr>
              <w:rPr>
                <w:rFonts w:cs="Arial"/>
                <w:sz w:val="20"/>
              </w:rPr>
            </w:pPr>
          </w:p>
        </w:tc>
        <w:tc>
          <w:tcPr>
            <w:tcW w:w="2719" w:type="pct"/>
            <w:gridSpan w:val="7"/>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D6" w14:textId="77777777" w:rsidR="005E6FBB" w:rsidRDefault="005E6FBB" w:rsidP="00217675">
            <w:pPr>
              <w:spacing w:before="100" w:beforeAutospacing="1" w:after="100" w:afterAutospacing="1"/>
              <w:rPr>
                <w:rFonts w:cs="Arial"/>
                <w:sz w:val="20"/>
              </w:rPr>
            </w:pPr>
            <w:r>
              <w:rPr>
                <w:rFonts w:cs="Arial"/>
                <w:sz w:val="20"/>
              </w:rPr>
              <w:t>The Scanning Software was upgraded in 2015, since implementation ALL electronic invoices are now processed automatically by emailing invoice attachments to Kofax the financial system interface</w:t>
            </w:r>
          </w:p>
        </w:tc>
      </w:tr>
      <w:tr w:rsidR="005E6FBB" w14:paraId="4552DADC" w14:textId="77777777" w:rsidTr="002176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552DAD8" w14:textId="77777777" w:rsidR="005E6FBB" w:rsidRDefault="005E6FBB" w:rsidP="00217675">
            <w:pPr>
              <w:spacing w:after="200" w:line="276" w:lineRule="auto"/>
              <w:rPr>
                <w:rFonts w:ascii="Calibri" w:eastAsia="Calibri" w:hAnsi="Calibri"/>
                <w:b/>
                <w:color w:val="FFCC00"/>
                <w:sz w:val="72"/>
                <w:szCs w:val="72"/>
                <w:lang w:eastAsia="en-US"/>
              </w:rPr>
            </w:pPr>
            <w:r>
              <w:rPr>
                <w:rFonts w:ascii="Wingdings" w:eastAsia="Calibri" w:hAnsi="Wingdings"/>
                <w:b/>
                <w:color w:val="FF0000"/>
                <w:sz w:val="72"/>
                <w:szCs w:val="72"/>
                <w:lang w:val="en-US" w:eastAsia="en-US"/>
              </w:rPr>
              <w:t></w:t>
            </w:r>
          </w:p>
          <w:p w14:paraId="4552DAD9" w14:textId="77777777" w:rsidR="005E6FBB" w:rsidRDefault="005E6FBB" w:rsidP="00217675">
            <w:pPr>
              <w:rPr>
                <w:rFonts w:cs="Arial"/>
                <w:noProof/>
                <w:sz w:val="20"/>
              </w:rPr>
            </w:pPr>
          </w:p>
        </w:tc>
        <w:tc>
          <w:tcPr>
            <w:tcW w:w="182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DA" w14:textId="77777777" w:rsidR="005E6FBB" w:rsidRDefault="005E6FBB" w:rsidP="00217675">
            <w:pPr>
              <w:ind w:left="11" w:hanging="259"/>
              <w:rPr>
                <w:rFonts w:cs="Arial"/>
                <w:sz w:val="20"/>
              </w:rPr>
            </w:pPr>
            <w:r>
              <w:rPr>
                <w:rFonts w:cs="Arial"/>
                <w:sz w:val="20"/>
              </w:rPr>
              <w:t>2   24. Establish a baseline and target to increase the number of invoices received by e-mail ( By 1.4.15)</w:t>
            </w:r>
          </w:p>
        </w:tc>
        <w:tc>
          <w:tcPr>
            <w:tcW w:w="2719" w:type="pct"/>
            <w:gridSpan w:val="7"/>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DB" w14:textId="77777777" w:rsidR="005E6FBB" w:rsidRDefault="005E6FBB" w:rsidP="00217675">
            <w:pPr>
              <w:spacing w:before="100" w:beforeAutospacing="1" w:after="100" w:afterAutospacing="1"/>
              <w:rPr>
                <w:rFonts w:cs="Arial"/>
                <w:sz w:val="20"/>
              </w:rPr>
            </w:pPr>
            <w:r>
              <w:rPr>
                <w:rFonts w:cs="Arial"/>
                <w:sz w:val="20"/>
              </w:rPr>
              <w:t xml:space="preserve">This target has not been measured. The financial system does not differentiate how invoices are received (paper or electronic) and any recording therefore would need to be a manual process. </w:t>
            </w:r>
          </w:p>
        </w:tc>
      </w:tr>
      <w:tr w:rsidR="005E6FBB" w14:paraId="4552DAE6" w14:textId="77777777" w:rsidTr="00217675">
        <w:trPr>
          <w:trHeight w:val="765"/>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ADD" w14:textId="77777777" w:rsidR="005E6FBB" w:rsidRDefault="005E6FBB" w:rsidP="00217675">
            <w:pPr>
              <w:rPr>
                <w:rFonts w:cs="Arial"/>
                <w:noProof/>
                <w:sz w:val="20"/>
              </w:rPr>
            </w:pPr>
            <w:r>
              <w:rPr>
                <w:rFonts w:ascii="Calibri" w:eastAsia="Calibri" w:hAnsi="Calibri"/>
                <w:b/>
                <w:color w:val="FFCC00"/>
                <w:sz w:val="72"/>
                <w:szCs w:val="72"/>
                <w:lang w:eastAsia="en-US"/>
              </w:rPr>
              <w:lastRenderedPageBreak/>
              <w:sym w:font="Wingdings" w:char="F04B"/>
            </w:r>
          </w:p>
        </w:tc>
        <w:tc>
          <w:tcPr>
            <w:tcW w:w="1823" w:type="pct"/>
            <w:vMerge w:val="restart"/>
            <w:tcBorders>
              <w:top w:val="single" w:sz="6" w:space="0" w:color="000000"/>
              <w:left w:val="single" w:sz="6" w:space="0" w:color="000000"/>
              <w:bottom w:val="nil"/>
              <w:right w:val="single" w:sz="6" w:space="0" w:color="000000"/>
            </w:tcBorders>
            <w:tcMar>
              <w:top w:w="15" w:type="dxa"/>
              <w:left w:w="75" w:type="dxa"/>
              <w:bottom w:w="15" w:type="dxa"/>
              <w:right w:w="75" w:type="dxa"/>
            </w:tcMar>
          </w:tcPr>
          <w:p w14:paraId="4552DADE" w14:textId="77777777" w:rsidR="005E6FBB" w:rsidRDefault="005E6FBB" w:rsidP="00217675">
            <w:pPr>
              <w:rPr>
                <w:rFonts w:cs="Arial"/>
                <w:sz w:val="20"/>
              </w:rPr>
            </w:pPr>
            <w:r>
              <w:rPr>
                <w:rFonts w:cs="Arial"/>
                <w:sz w:val="20"/>
              </w:rPr>
              <w:t>25. Achieve CBC/SRBC Combined PI Targets as per the  Annual Shared Financial Services Business Improvement Plan of:</w:t>
            </w:r>
          </w:p>
          <w:p w14:paraId="4552DADF" w14:textId="77777777" w:rsidR="005E6FBB" w:rsidRDefault="005E6FBB" w:rsidP="00217675">
            <w:pPr>
              <w:rPr>
                <w:rFonts w:cs="Arial"/>
                <w:sz w:val="20"/>
              </w:rPr>
            </w:pPr>
          </w:p>
          <w:p w14:paraId="4552DAE0" w14:textId="77777777" w:rsidR="005E6FBB" w:rsidRDefault="005E6FBB" w:rsidP="00217675">
            <w:pPr>
              <w:rPr>
                <w:rFonts w:cs="Arial"/>
                <w:sz w:val="20"/>
              </w:rPr>
            </w:pPr>
            <w:r>
              <w:rPr>
                <w:rFonts w:cs="Arial"/>
                <w:sz w:val="20"/>
              </w:rPr>
              <w:t xml:space="preserve">*95% Payment by electronic means (BACS)  </w:t>
            </w:r>
          </w:p>
          <w:p w14:paraId="4552DAE1" w14:textId="77777777" w:rsidR="005E6FBB" w:rsidRDefault="005E6FBB" w:rsidP="00217675">
            <w:pPr>
              <w:rPr>
                <w:rFonts w:cs="Arial"/>
                <w:sz w:val="20"/>
              </w:rPr>
            </w:pPr>
          </w:p>
          <w:p w14:paraId="4552DAE2" w14:textId="77777777" w:rsidR="005E6FBB" w:rsidRDefault="005E6FBB" w:rsidP="00217675">
            <w:pPr>
              <w:ind w:left="11" w:hanging="259"/>
              <w:rPr>
                <w:rFonts w:cs="Arial"/>
                <w:sz w:val="20"/>
              </w:rPr>
            </w:pPr>
          </w:p>
        </w:tc>
        <w:tc>
          <w:tcPr>
            <w:tcW w:w="927" w:type="pct"/>
            <w:gridSpan w:val="2"/>
            <w:tcBorders>
              <w:top w:val="single" w:sz="6" w:space="0" w:color="000000"/>
              <w:left w:val="single" w:sz="6" w:space="0" w:color="000000"/>
              <w:bottom w:val="single" w:sz="4" w:space="0" w:color="auto"/>
              <w:right w:val="single" w:sz="4" w:space="0" w:color="auto"/>
            </w:tcBorders>
            <w:tcMar>
              <w:top w:w="15" w:type="dxa"/>
              <w:left w:w="75" w:type="dxa"/>
              <w:bottom w:w="15" w:type="dxa"/>
              <w:right w:w="75" w:type="dxa"/>
            </w:tcMar>
            <w:vAlign w:val="center"/>
            <w:hideMark/>
          </w:tcPr>
          <w:p w14:paraId="4552DAE3" w14:textId="77777777" w:rsidR="005E6FBB" w:rsidRDefault="005E6FBB" w:rsidP="00217675">
            <w:pPr>
              <w:spacing w:before="100" w:beforeAutospacing="1" w:after="100" w:afterAutospacing="1"/>
              <w:jc w:val="center"/>
              <w:rPr>
                <w:rFonts w:cs="Arial"/>
                <w:b/>
                <w:sz w:val="20"/>
              </w:rPr>
            </w:pPr>
            <w:r>
              <w:rPr>
                <w:rFonts w:cs="Arial"/>
                <w:b/>
                <w:sz w:val="20"/>
              </w:rPr>
              <w:t>15/16</w:t>
            </w:r>
          </w:p>
        </w:tc>
        <w:tc>
          <w:tcPr>
            <w:tcW w:w="762" w:type="pct"/>
            <w:gridSpan w:val="2"/>
            <w:tcBorders>
              <w:top w:val="single" w:sz="6" w:space="0" w:color="000000"/>
              <w:left w:val="single" w:sz="4" w:space="0" w:color="auto"/>
              <w:bottom w:val="single" w:sz="4" w:space="0" w:color="auto"/>
              <w:right w:val="single" w:sz="4" w:space="0" w:color="auto"/>
            </w:tcBorders>
            <w:vAlign w:val="center"/>
            <w:hideMark/>
          </w:tcPr>
          <w:p w14:paraId="4552DAE4" w14:textId="77777777" w:rsidR="005E6FBB" w:rsidRDefault="005E6FBB" w:rsidP="00217675">
            <w:pPr>
              <w:spacing w:before="100" w:beforeAutospacing="1" w:after="100" w:afterAutospacing="1"/>
              <w:jc w:val="center"/>
              <w:rPr>
                <w:rFonts w:cs="Arial"/>
                <w:b/>
                <w:sz w:val="20"/>
              </w:rPr>
            </w:pPr>
            <w:r>
              <w:rPr>
                <w:rFonts w:cs="Arial"/>
                <w:b/>
                <w:sz w:val="20"/>
              </w:rPr>
              <w:t>16/17</w:t>
            </w:r>
          </w:p>
        </w:tc>
        <w:tc>
          <w:tcPr>
            <w:tcW w:w="1030" w:type="pct"/>
            <w:gridSpan w:val="3"/>
            <w:tcBorders>
              <w:top w:val="single" w:sz="6" w:space="0" w:color="000000"/>
              <w:left w:val="single" w:sz="4" w:space="0" w:color="auto"/>
              <w:bottom w:val="single" w:sz="4" w:space="0" w:color="auto"/>
              <w:right w:val="single" w:sz="6" w:space="0" w:color="000000"/>
            </w:tcBorders>
            <w:vAlign w:val="center"/>
            <w:hideMark/>
          </w:tcPr>
          <w:p w14:paraId="4552DAE5" w14:textId="77777777" w:rsidR="005E6FBB" w:rsidRDefault="005E6FBB" w:rsidP="00217675">
            <w:pPr>
              <w:spacing w:before="100" w:beforeAutospacing="1" w:after="100" w:afterAutospacing="1"/>
              <w:jc w:val="center"/>
              <w:rPr>
                <w:rFonts w:cs="Arial"/>
                <w:b/>
                <w:sz w:val="20"/>
              </w:rPr>
            </w:pPr>
            <w:r>
              <w:rPr>
                <w:rFonts w:cs="Arial"/>
                <w:b/>
                <w:sz w:val="20"/>
              </w:rPr>
              <w:t>17/18</w:t>
            </w:r>
          </w:p>
        </w:tc>
      </w:tr>
      <w:tr w:rsidR="005E6FBB" w14:paraId="4552DAEC" w14:textId="77777777" w:rsidTr="00217675">
        <w:trPr>
          <w:trHeight w:val="6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52DAE7" w14:textId="77777777" w:rsidR="005E6FBB" w:rsidRDefault="005E6FBB" w:rsidP="00217675">
            <w:pPr>
              <w:rPr>
                <w:rFonts w:cs="Arial"/>
                <w:noProof/>
                <w:sz w:val="20"/>
              </w:rPr>
            </w:pPr>
          </w:p>
        </w:tc>
        <w:tc>
          <w:tcPr>
            <w:tcW w:w="0" w:type="auto"/>
            <w:vMerge/>
            <w:tcBorders>
              <w:top w:val="single" w:sz="6" w:space="0" w:color="000000"/>
              <w:left w:val="single" w:sz="6" w:space="0" w:color="000000"/>
              <w:bottom w:val="nil"/>
              <w:right w:val="single" w:sz="6" w:space="0" w:color="000000"/>
            </w:tcBorders>
            <w:vAlign w:val="center"/>
            <w:hideMark/>
          </w:tcPr>
          <w:p w14:paraId="4552DAE8" w14:textId="77777777" w:rsidR="005E6FBB" w:rsidRDefault="005E6FBB" w:rsidP="00217675">
            <w:pPr>
              <w:rPr>
                <w:rFonts w:cs="Arial"/>
                <w:sz w:val="20"/>
              </w:rPr>
            </w:pPr>
          </w:p>
        </w:tc>
        <w:tc>
          <w:tcPr>
            <w:tcW w:w="927" w:type="pct"/>
            <w:gridSpan w:val="2"/>
            <w:tcBorders>
              <w:top w:val="single" w:sz="4" w:space="0" w:color="auto"/>
              <w:left w:val="single" w:sz="6" w:space="0" w:color="000000"/>
              <w:bottom w:val="nil"/>
              <w:right w:val="single" w:sz="4" w:space="0" w:color="auto"/>
            </w:tcBorders>
            <w:tcMar>
              <w:top w:w="15" w:type="dxa"/>
              <w:left w:w="75" w:type="dxa"/>
              <w:bottom w:w="15" w:type="dxa"/>
              <w:right w:w="75" w:type="dxa"/>
            </w:tcMar>
            <w:vAlign w:val="center"/>
            <w:hideMark/>
          </w:tcPr>
          <w:p w14:paraId="4552DAE9"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99.37</w:t>
            </w:r>
          </w:p>
        </w:tc>
        <w:tc>
          <w:tcPr>
            <w:tcW w:w="762" w:type="pct"/>
            <w:gridSpan w:val="2"/>
            <w:tcBorders>
              <w:top w:val="single" w:sz="4" w:space="0" w:color="auto"/>
              <w:left w:val="single" w:sz="4" w:space="0" w:color="auto"/>
              <w:bottom w:val="nil"/>
              <w:right w:val="single" w:sz="4" w:space="0" w:color="auto"/>
            </w:tcBorders>
            <w:vAlign w:val="center"/>
            <w:hideMark/>
          </w:tcPr>
          <w:p w14:paraId="4552DAEA"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99.55</w:t>
            </w:r>
          </w:p>
        </w:tc>
        <w:tc>
          <w:tcPr>
            <w:tcW w:w="1030" w:type="pct"/>
            <w:gridSpan w:val="3"/>
            <w:tcBorders>
              <w:top w:val="single" w:sz="4" w:space="0" w:color="auto"/>
              <w:left w:val="single" w:sz="4" w:space="0" w:color="auto"/>
              <w:bottom w:val="nil"/>
              <w:right w:val="single" w:sz="6" w:space="0" w:color="000000"/>
            </w:tcBorders>
            <w:vAlign w:val="center"/>
            <w:hideMark/>
          </w:tcPr>
          <w:p w14:paraId="4552DAEB"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99.65</w:t>
            </w:r>
          </w:p>
        </w:tc>
      </w:tr>
      <w:tr w:rsidR="005E6FBB" w14:paraId="4552DAF5" w14:textId="77777777" w:rsidTr="00217675">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52DAED" w14:textId="77777777" w:rsidR="005E6FBB" w:rsidRDefault="005E6FBB" w:rsidP="00217675">
            <w:pPr>
              <w:rPr>
                <w:rFonts w:cs="Arial"/>
                <w:noProof/>
                <w:sz w:val="20"/>
              </w:rPr>
            </w:pPr>
          </w:p>
        </w:tc>
        <w:tc>
          <w:tcPr>
            <w:tcW w:w="1823" w:type="pct"/>
            <w:vMerge w:val="restart"/>
            <w:tcBorders>
              <w:top w:val="single" w:sz="4" w:space="0" w:color="auto"/>
              <w:left w:val="single" w:sz="6" w:space="0" w:color="000000"/>
              <w:bottom w:val="single" w:sz="4" w:space="0" w:color="auto"/>
              <w:right w:val="single" w:sz="6" w:space="0" w:color="000000"/>
            </w:tcBorders>
            <w:tcMar>
              <w:top w:w="15" w:type="dxa"/>
              <w:left w:w="75" w:type="dxa"/>
              <w:bottom w:w="15" w:type="dxa"/>
              <w:right w:w="75" w:type="dxa"/>
            </w:tcMar>
          </w:tcPr>
          <w:p w14:paraId="4552DAEE" w14:textId="77777777" w:rsidR="005E6FBB" w:rsidRDefault="005E6FBB" w:rsidP="00217675">
            <w:pPr>
              <w:rPr>
                <w:rFonts w:cs="Arial"/>
                <w:sz w:val="20"/>
              </w:rPr>
            </w:pPr>
          </w:p>
          <w:p w14:paraId="4552DAEF" w14:textId="77777777" w:rsidR="005E6FBB" w:rsidRDefault="005E6FBB" w:rsidP="00217675">
            <w:pPr>
              <w:rPr>
                <w:rFonts w:cs="Arial"/>
                <w:sz w:val="20"/>
              </w:rPr>
            </w:pPr>
            <w:r>
              <w:rPr>
                <w:rFonts w:cs="Arial"/>
                <w:sz w:val="20"/>
              </w:rPr>
              <w:t>*99% of suppliers invoices paid within 30 days</w:t>
            </w:r>
          </w:p>
          <w:p w14:paraId="4552DAF0" w14:textId="77777777" w:rsidR="005E6FBB" w:rsidRDefault="005E6FBB" w:rsidP="00217675">
            <w:pPr>
              <w:rPr>
                <w:rFonts w:cs="Arial"/>
                <w:sz w:val="20"/>
              </w:rPr>
            </w:pPr>
          </w:p>
          <w:p w14:paraId="4552DAF1" w14:textId="77777777" w:rsidR="005E6FBB" w:rsidRDefault="005E6FBB" w:rsidP="00217675">
            <w:pPr>
              <w:ind w:left="11" w:hanging="259"/>
              <w:rPr>
                <w:rFonts w:cs="Arial"/>
                <w:sz w:val="20"/>
              </w:rPr>
            </w:pPr>
          </w:p>
        </w:tc>
        <w:tc>
          <w:tcPr>
            <w:tcW w:w="924" w:type="pct"/>
            <w:tcBorders>
              <w:top w:val="single" w:sz="4" w:space="0" w:color="auto"/>
              <w:left w:val="single" w:sz="6" w:space="0" w:color="000000"/>
              <w:bottom w:val="single" w:sz="4" w:space="0" w:color="auto"/>
              <w:right w:val="single" w:sz="4" w:space="0" w:color="auto"/>
            </w:tcBorders>
            <w:tcMar>
              <w:top w:w="15" w:type="dxa"/>
              <w:left w:w="75" w:type="dxa"/>
              <w:bottom w:w="15" w:type="dxa"/>
              <w:right w:w="75" w:type="dxa"/>
            </w:tcMar>
            <w:vAlign w:val="center"/>
            <w:hideMark/>
          </w:tcPr>
          <w:p w14:paraId="4552DAF2"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99.43</w:t>
            </w:r>
          </w:p>
        </w:tc>
        <w:tc>
          <w:tcPr>
            <w:tcW w:w="774" w:type="pct"/>
            <w:gridSpan w:val="4"/>
            <w:tcBorders>
              <w:top w:val="single" w:sz="4" w:space="0" w:color="auto"/>
              <w:left w:val="single" w:sz="4" w:space="0" w:color="auto"/>
              <w:bottom w:val="single" w:sz="4" w:space="0" w:color="auto"/>
              <w:right w:val="single" w:sz="4" w:space="0" w:color="auto"/>
            </w:tcBorders>
            <w:vAlign w:val="center"/>
            <w:hideMark/>
          </w:tcPr>
          <w:p w14:paraId="4552DAF3"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98.15</w:t>
            </w:r>
          </w:p>
        </w:tc>
        <w:tc>
          <w:tcPr>
            <w:tcW w:w="1021" w:type="pct"/>
            <w:gridSpan w:val="2"/>
            <w:tcBorders>
              <w:top w:val="single" w:sz="4" w:space="0" w:color="auto"/>
              <w:left w:val="single" w:sz="4" w:space="0" w:color="auto"/>
              <w:bottom w:val="single" w:sz="4" w:space="0" w:color="auto"/>
              <w:right w:val="single" w:sz="6" w:space="0" w:color="000000"/>
            </w:tcBorders>
            <w:vAlign w:val="center"/>
            <w:hideMark/>
          </w:tcPr>
          <w:p w14:paraId="4552DAF4"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98.80</w:t>
            </w:r>
          </w:p>
        </w:tc>
      </w:tr>
      <w:tr w:rsidR="005E6FBB" w14:paraId="4552DAF9" w14:textId="77777777" w:rsidTr="00217675">
        <w:trPr>
          <w:trHeight w:val="7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52DAF6" w14:textId="77777777" w:rsidR="005E6FBB" w:rsidRDefault="005E6FBB" w:rsidP="00217675">
            <w:pPr>
              <w:rPr>
                <w:rFonts w:cs="Arial"/>
                <w:noProof/>
                <w:sz w:val="20"/>
              </w:rPr>
            </w:pPr>
          </w:p>
        </w:tc>
        <w:tc>
          <w:tcPr>
            <w:tcW w:w="0" w:type="auto"/>
            <w:vMerge/>
            <w:tcBorders>
              <w:top w:val="single" w:sz="4" w:space="0" w:color="auto"/>
              <w:left w:val="single" w:sz="6" w:space="0" w:color="000000"/>
              <w:bottom w:val="single" w:sz="4" w:space="0" w:color="auto"/>
              <w:right w:val="single" w:sz="6" w:space="0" w:color="000000"/>
            </w:tcBorders>
            <w:vAlign w:val="center"/>
            <w:hideMark/>
          </w:tcPr>
          <w:p w14:paraId="4552DAF7" w14:textId="77777777" w:rsidR="005E6FBB" w:rsidRDefault="005E6FBB" w:rsidP="00217675">
            <w:pPr>
              <w:rPr>
                <w:rFonts w:cs="Arial"/>
                <w:sz w:val="20"/>
              </w:rPr>
            </w:pPr>
          </w:p>
        </w:tc>
        <w:tc>
          <w:tcPr>
            <w:tcW w:w="2719" w:type="pct"/>
            <w:gridSpan w:val="7"/>
            <w:tcBorders>
              <w:top w:val="single" w:sz="4" w:space="0" w:color="auto"/>
              <w:left w:val="single" w:sz="6" w:space="0" w:color="000000"/>
              <w:bottom w:val="single" w:sz="4" w:space="0" w:color="auto"/>
              <w:right w:val="single" w:sz="6" w:space="0" w:color="000000"/>
            </w:tcBorders>
            <w:tcMar>
              <w:top w:w="15" w:type="dxa"/>
              <w:left w:w="75" w:type="dxa"/>
              <w:bottom w:w="15" w:type="dxa"/>
              <w:right w:w="75" w:type="dxa"/>
            </w:tcMar>
            <w:vAlign w:val="center"/>
            <w:hideMark/>
          </w:tcPr>
          <w:p w14:paraId="4552DAF8" w14:textId="77777777" w:rsidR="005E6FBB" w:rsidRDefault="005E6FBB" w:rsidP="00217675">
            <w:pPr>
              <w:spacing w:before="100" w:beforeAutospacing="1" w:after="100" w:afterAutospacing="1"/>
              <w:rPr>
                <w:rFonts w:cs="Arial"/>
                <w:sz w:val="20"/>
              </w:rPr>
            </w:pPr>
            <w:r>
              <w:rPr>
                <w:rFonts w:cs="Arial"/>
                <w:sz w:val="20"/>
              </w:rPr>
              <w:t>16/17 &amp; 17/18 were marginally under target due to a turn-over of staff in both the accounts payable team and key managers responsible for approving invoices. A change in personnel had an impact on those departments where there are high volumes of invoices e.g. property services. Progress to meet the targets were further hampered in 17/18 due to the Banking industries changes to account numbers and sort codes, a high volume of creditors changed their bank account details over a short period of time which led to an increase in fraudulent activity nationally, robust controls were in place to accommodate these changes</w:t>
            </w:r>
          </w:p>
        </w:tc>
      </w:tr>
      <w:tr w:rsidR="005E6FBB" w14:paraId="4552DB00" w14:textId="77777777" w:rsidTr="00217675">
        <w:trPr>
          <w:trHeight w:val="73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52DAFA" w14:textId="77777777" w:rsidR="005E6FBB" w:rsidRDefault="005E6FBB" w:rsidP="00217675">
            <w:pPr>
              <w:rPr>
                <w:rFonts w:cs="Arial"/>
                <w:noProof/>
                <w:sz w:val="20"/>
              </w:rPr>
            </w:pPr>
          </w:p>
        </w:tc>
        <w:tc>
          <w:tcPr>
            <w:tcW w:w="1823" w:type="pct"/>
            <w:tcBorders>
              <w:top w:val="single" w:sz="4" w:space="0" w:color="auto"/>
              <w:left w:val="single" w:sz="6" w:space="0" w:color="000000"/>
              <w:bottom w:val="single" w:sz="4" w:space="0" w:color="auto"/>
              <w:right w:val="single" w:sz="6" w:space="0" w:color="000000"/>
            </w:tcBorders>
            <w:tcMar>
              <w:top w:w="15" w:type="dxa"/>
              <w:left w:w="75" w:type="dxa"/>
              <w:bottom w:w="15" w:type="dxa"/>
              <w:right w:w="75" w:type="dxa"/>
            </w:tcMar>
          </w:tcPr>
          <w:p w14:paraId="4552DAFB" w14:textId="77777777" w:rsidR="005E6FBB" w:rsidRDefault="005E6FBB" w:rsidP="00217675">
            <w:pPr>
              <w:rPr>
                <w:rFonts w:cs="Arial"/>
                <w:sz w:val="20"/>
              </w:rPr>
            </w:pPr>
          </w:p>
          <w:p w14:paraId="4552DAFC" w14:textId="77777777" w:rsidR="005E6FBB" w:rsidRDefault="005E6FBB" w:rsidP="00217675">
            <w:pPr>
              <w:rPr>
                <w:rFonts w:cs="Arial"/>
                <w:sz w:val="20"/>
              </w:rPr>
            </w:pPr>
            <w:r>
              <w:rPr>
                <w:rFonts w:cs="Arial"/>
                <w:sz w:val="20"/>
              </w:rPr>
              <w:t>80% of suppliers invoices paid within 10 days</w:t>
            </w:r>
          </w:p>
        </w:tc>
        <w:tc>
          <w:tcPr>
            <w:tcW w:w="972" w:type="pct"/>
            <w:gridSpan w:val="3"/>
            <w:tcBorders>
              <w:top w:val="single" w:sz="4" w:space="0" w:color="auto"/>
              <w:left w:val="single" w:sz="6" w:space="0" w:color="000000"/>
              <w:bottom w:val="single" w:sz="4" w:space="0" w:color="auto"/>
              <w:right w:val="single" w:sz="4" w:space="0" w:color="auto"/>
            </w:tcBorders>
            <w:tcMar>
              <w:top w:w="15" w:type="dxa"/>
              <w:left w:w="75" w:type="dxa"/>
              <w:bottom w:w="15" w:type="dxa"/>
              <w:right w:w="75" w:type="dxa"/>
            </w:tcMar>
            <w:vAlign w:val="center"/>
            <w:hideMark/>
          </w:tcPr>
          <w:p w14:paraId="4552DAFD"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86.59</w:t>
            </w:r>
          </w:p>
        </w:tc>
        <w:tc>
          <w:tcPr>
            <w:tcW w:w="883" w:type="pct"/>
            <w:gridSpan w:val="3"/>
            <w:tcBorders>
              <w:top w:val="single" w:sz="4" w:space="0" w:color="auto"/>
              <w:left w:val="single" w:sz="4" w:space="0" w:color="auto"/>
              <w:bottom w:val="single" w:sz="4" w:space="0" w:color="auto"/>
              <w:right w:val="single" w:sz="4" w:space="0" w:color="auto"/>
            </w:tcBorders>
            <w:vAlign w:val="center"/>
            <w:hideMark/>
          </w:tcPr>
          <w:p w14:paraId="4552DAFE"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83.26</w:t>
            </w:r>
          </w:p>
        </w:tc>
        <w:tc>
          <w:tcPr>
            <w:tcW w:w="864" w:type="pct"/>
            <w:tcBorders>
              <w:top w:val="single" w:sz="4" w:space="0" w:color="auto"/>
              <w:left w:val="single" w:sz="4" w:space="0" w:color="auto"/>
              <w:bottom w:val="single" w:sz="4" w:space="0" w:color="auto"/>
              <w:right w:val="single" w:sz="6" w:space="0" w:color="000000"/>
            </w:tcBorders>
            <w:vAlign w:val="center"/>
            <w:hideMark/>
          </w:tcPr>
          <w:p w14:paraId="4552DAFF"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83.64</w:t>
            </w:r>
          </w:p>
        </w:tc>
      </w:tr>
      <w:tr w:rsidR="005E6FBB" w14:paraId="4552DB08" w14:textId="77777777" w:rsidTr="00217675">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52DB01" w14:textId="77777777" w:rsidR="005E6FBB" w:rsidRDefault="005E6FBB" w:rsidP="00217675">
            <w:pPr>
              <w:rPr>
                <w:rFonts w:cs="Arial"/>
                <w:noProof/>
                <w:sz w:val="20"/>
              </w:rPr>
            </w:pPr>
          </w:p>
        </w:tc>
        <w:tc>
          <w:tcPr>
            <w:tcW w:w="1823" w:type="pct"/>
            <w:vMerge w:val="restart"/>
            <w:tcBorders>
              <w:top w:val="single" w:sz="4" w:space="0" w:color="auto"/>
              <w:left w:val="single" w:sz="6" w:space="0" w:color="000000"/>
              <w:bottom w:val="single" w:sz="6" w:space="0" w:color="000000"/>
              <w:right w:val="single" w:sz="6" w:space="0" w:color="000000"/>
            </w:tcBorders>
            <w:tcMar>
              <w:top w:w="15" w:type="dxa"/>
              <w:left w:w="75" w:type="dxa"/>
              <w:bottom w:w="15" w:type="dxa"/>
              <w:right w:w="75" w:type="dxa"/>
            </w:tcMar>
          </w:tcPr>
          <w:p w14:paraId="4552DB02" w14:textId="77777777" w:rsidR="005E6FBB" w:rsidRDefault="005E6FBB" w:rsidP="00217675">
            <w:pPr>
              <w:rPr>
                <w:rFonts w:cs="Arial"/>
                <w:sz w:val="20"/>
              </w:rPr>
            </w:pPr>
          </w:p>
          <w:p w14:paraId="4552DB03" w14:textId="77777777" w:rsidR="005E6FBB" w:rsidRDefault="005E6FBB" w:rsidP="00217675">
            <w:pPr>
              <w:rPr>
                <w:rFonts w:cs="Arial"/>
                <w:sz w:val="20"/>
              </w:rPr>
            </w:pPr>
          </w:p>
          <w:p w14:paraId="4552DB04" w14:textId="77777777" w:rsidR="005E6FBB" w:rsidRDefault="005E6FBB" w:rsidP="00217675">
            <w:pPr>
              <w:ind w:left="11" w:hanging="259"/>
              <w:rPr>
                <w:rFonts w:cs="Arial"/>
                <w:sz w:val="20"/>
              </w:rPr>
            </w:pPr>
            <w:r>
              <w:rPr>
                <w:rFonts w:cs="Arial"/>
                <w:sz w:val="20"/>
              </w:rPr>
              <w:t xml:space="preserve">    100% of remittances to suppliers by electronic means </w:t>
            </w:r>
          </w:p>
        </w:tc>
        <w:tc>
          <w:tcPr>
            <w:tcW w:w="972" w:type="pct"/>
            <w:gridSpan w:val="3"/>
            <w:tcBorders>
              <w:top w:val="single" w:sz="4" w:space="0" w:color="auto"/>
              <w:left w:val="single" w:sz="6" w:space="0" w:color="000000"/>
              <w:bottom w:val="single" w:sz="4" w:space="0" w:color="auto"/>
              <w:right w:val="single" w:sz="4" w:space="0" w:color="auto"/>
            </w:tcBorders>
            <w:tcMar>
              <w:top w:w="15" w:type="dxa"/>
              <w:left w:w="75" w:type="dxa"/>
              <w:bottom w:w="15" w:type="dxa"/>
              <w:right w:w="75" w:type="dxa"/>
            </w:tcMar>
            <w:vAlign w:val="center"/>
            <w:hideMark/>
          </w:tcPr>
          <w:p w14:paraId="4552DB05"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95.32</w:t>
            </w:r>
          </w:p>
        </w:tc>
        <w:tc>
          <w:tcPr>
            <w:tcW w:w="883" w:type="pct"/>
            <w:gridSpan w:val="3"/>
            <w:tcBorders>
              <w:top w:val="single" w:sz="4" w:space="0" w:color="auto"/>
              <w:left w:val="single" w:sz="4" w:space="0" w:color="auto"/>
              <w:bottom w:val="single" w:sz="4" w:space="0" w:color="auto"/>
              <w:right w:val="single" w:sz="4" w:space="0" w:color="auto"/>
            </w:tcBorders>
            <w:vAlign w:val="center"/>
            <w:hideMark/>
          </w:tcPr>
          <w:p w14:paraId="4552DB06"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95.96</w:t>
            </w:r>
          </w:p>
        </w:tc>
        <w:tc>
          <w:tcPr>
            <w:tcW w:w="864" w:type="pct"/>
            <w:tcBorders>
              <w:top w:val="single" w:sz="4" w:space="0" w:color="auto"/>
              <w:left w:val="single" w:sz="4" w:space="0" w:color="auto"/>
              <w:bottom w:val="single" w:sz="4" w:space="0" w:color="auto"/>
              <w:right w:val="single" w:sz="6" w:space="0" w:color="000000"/>
            </w:tcBorders>
            <w:vAlign w:val="center"/>
            <w:hideMark/>
          </w:tcPr>
          <w:p w14:paraId="4552DB07" w14:textId="77777777" w:rsidR="005E6FBB" w:rsidRDefault="005E6FBB" w:rsidP="00217675">
            <w:pPr>
              <w:spacing w:after="200" w:line="276" w:lineRule="auto"/>
              <w:jc w:val="center"/>
              <w:rPr>
                <w:rFonts w:ascii="Calibri" w:eastAsia="Calibri" w:hAnsi="Calibri"/>
                <w:szCs w:val="22"/>
                <w:lang w:eastAsia="en-US"/>
              </w:rPr>
            </w:pPr>
            <w:r>
              <w:rPr>
                <w:rFonts w:ascii="Calibri" w:eastAsia="Calibri" w:hAnsi="Calibri"/>
                <w:szCs w:val="22"/>
                <w:lang w:eastAsia="en-US"/>
              </w:rPr>
              <w:t>98.25</w:t>
            </w:r>
          </w:p>
        </w:tc>
      </w:tr>
      <w:tr w:rsidR="005E6FBB" w14:paraId="4552DB0C" w14:textId="77777777" w:rsidTr="00217675">
        <w:trPr>
          <w:trHeight w:val="6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52DB09" w14:textId="77777777" w:rsidR="005E6FBB" w:rsidRDefault="005E6FBB" w:rsidP="00217675">
            <w:pPr>
              <w:rPr>
                <w:rFonts w:cs="Arial"/>
                <w:noProof/>
                <w:sz w:val="20"/>
              </w:rPr>
            </w:pPr>
          </w:p>
        </w:tc>
        <w:tc>
          <w:tcPr>
            <w:tcW w:w="0" w:type="auto"/>
            <w:vMerge/>
            <w:tcBorders>
              <w:top w:val="single" w:sz="4" w:space="0" w:color="auto"/>
              <w:left w:val="single" w:sz="6" w:space="0" w:color="000000"/>
              <w:bottom w:val="single" w:sz="6" w:space="0" w:color="000000"/>
              <w:right w:val="single" w:sz="6" w:space="0" w:color="000000"/>
            </w:tcBorders>
            <w:vAlign w:val="center"/>
            <w:hideMark/>
          </w:tcPr>
          <w:p w14:paraId="4552DB0A" w14:textId="77777777" w:rsidR="005E6FBB" w:rsidRDefault="005E6FBB" w:rsidP="00217675">
            <w:pPr>
              <w:rPr>
                <w:rFonts w:cs="Arial"/>
                <w:sz w:val="20"/>
              </w:rPr>
            </w:pPr>
          </w:p>
        </w:tc>
        <w:tc>
          <w:tcPr>
            <w:tcW w:w="2719" w:type="pct"/>
            <w:gridSpan w:val="7"/>
            <w:tcBorders>
              <w:top w:val="single" w:sz="4" w:space="0" w:color="auto"/>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52DB0B" w14:textId="77777777" w:rsidR="005E6FBB" w:rsidRDefault="005E6FBB" w:rsidP="00217675">
            <w:pPr>
              <w:spacing w:before="100" w:beforeAutospacing="1" w:after="100" w:afterAutospacing="1"/>
              <w:rPr>
                <w:rFonts w:cs="Arial"/>
                <w:sz w:val="20"/>
              </w:rPr>
            </w:pPr>
            <w:r>
              <w:rPr>
                <w:rFonts w:cs="Arial"/>
                <w:sz w:val="20"/>
              </w:rPr>
              <w:t>Following a review within the creditors function it was decided that the dispatch of paper remittance advices (to creditors without e-mail addresses) strengthened system control by reducing the potential risk of using incorrect bank account details. The target was subsequently reduced to 95% to make allowances for the necessary dispatch of paper remittances as part of the accounts payable controls when dealing with a potential risk of incorrect bank details, for example creditors without an email address or a potentially incorrect email address</w:t>
            </w:r>
          </w:p>
        </w:tc>
      </w:tr>
    </w:tbl>
    <w:p w14:paraId="4552DB0D" w14:textId="77777777" w:rsidR="005E6FBB" w:rsidRDefault="005E6FBB" w:rsidP="005E6FBB">
      <w:pPr>
        <w:spacing w:after="200" w:line="276" w:lineRule="auto"/>
        <w:rPr>
          <w:rFonts w:ascii="Calibri" w:eastAsia="Calibri" w:hAnsi="Calibri"/>
          <w:b/>
          <w:sz w:val="24"/>
          <w:szCs w:val="24"/>
          <w:lang w:eastAsia="en-US"/>
        </w:rPr>
      </w:pPr>
    </w:p>
    <w:p w14:paraId="4552DB0E" w14:textId="77777777" w:rsidR="005E6FBB" w:rsidRPr="006856E9" w:rsidRDefault="005E6FBB" w:rsidP="005E6FBB"/>
    <w:p w14:paraId="4552DB0F" w14:textId="77777777" w:rsidR="001C5E49" w:rsidRPr="009725FB" w:rsidRDefault="001C5E49" w:rsidP="001C5E49">
      <w:pPr>
        <w:tabs>
          <w:tab w:val="left" w:pos="2839"/>
        </w:tabs>
        <w:rPr>
          <w:rFonts w:cs="Arial"/>
        </w:rPr>
      </w:pPr>
    </w:p>
    <w:sectPr w:rsidR="001C5E49" w:rsidRPr="009725FB" w:rsidSect="00E971A2">
      <w:footerReference w:type="default" r:id="rId11"/>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2DB40" w14:textId="77777777" w:rsidR="00D619BC" w:rsidRDefault="00D619BC">
      <w:r>
        <w:separator/>
      </w:r>
    </w:p>
  </w:endnote>
  <w:endnote w:type="continuationSeparator" w:id="0">
    <w:p w14:paraId="4552DB41" w14:textId="77777777" w:rsidR="00D619BC" w:rsidRDefault="00D6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DB42"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6D09CD">
      <w:rPr>
        <w:noProof/>
        <w:sz w:val="24"/>
      </w:rPr>
      <w:t>12</w:t>
    </w:r>
    <w:r w:rsidRPr="00FD7B65">
      <w:rPr>
        <w:noProof/>
        <w:sz w:val="24"/>
      </w:rPr>
      <w:fldChar w:fldCharType="end"/>
    </w:r>
  </w:p>
  <w:p w14:paraId="4552DB43"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2DB3E" w14:textId="77777777" w:rsidR="00D619BC" w:rsidRDefault="00D619BC">
      <w:r>
        <w:separator/>
      </w:r>
    </w:p>
  </w:footnote>
  <w:footnote w:type="continuationSeparator" w:id="0">
    <w:p w14:paraId="4552DB3F" w14:textId="77777777" w:rsidR="00D619BC" w:rsidRDefault="00D61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87F54"/>
    <w:multiLevelType w:val="hybridMultilevel"/>
    <w:tmpl w:val="B7001DDC"/>
    <w:lvl w:ilvl="0" w:tplc="D2406458">
      <w:start w:val="5"/>
      <w:numFmt w:val="bullet"/>
      <w:lvlText w:val="-"/>
      <w:lvlJc w:val="left"/>
      <w:pPr>
        <w:ind w:left="1023" w:hanging="360"/>
      </w:pPr>
      <w:rPr>
        <w:rFonts w:ascii="Arial" w:eastAsia="Times New Roman" w:hAnsi="Arial" w:cs="Arial" w:hint="default"/>
      </w:rPr>
    </w:lvl>
    <w:lvl w:ilvl="1" w:tplc="08090003">
      <w:start w:val="1"/>
      <w:numFmt w:val="bullet"/>
      <w:lvlText w:val="o"/>
      <w:lvlJc w:val="left"/>
      <w:pPr>
        <w:ind w:left="1743" w:hanging="360"/>
      </w:pPr>
      <w:rPr>
        <w:rFonts w:ascii="Courier New" w:hAnsi="Courier New" w:cs="Courier New" w:hint="default"/>
      </w:rPr>
    </w:lvl>
    <w:lvl w:ilvl="2" w:tplc="08090005">
      <w:start w:val="1"/>
      <w:numFmt w:val="bullet"/>
      <w:lvlText w:val=""/>
      <w:lvlJc w:val="left"/>
      <w:pPr>
        <w:ind w:left="2463" w:hanging="360"/>
      </w:pPr>
      <w:rPr>
        <w:rFonts w:ascii="Wingdings" w:hAnsi="Wingdings" w:hint="default"/>
      </w:rPr>
    </w:lvl>
    <w:lvl w:ilvl="3" w:tplc="08090001">
      <w:start w:val="1"/>
      <w:numFmt w:val="bullet"/>
      <w:lvlText w:val=""/>
      <w:lvlJc w:val="left"/>
      <w:pPr>
        <w:ind w:left="3183" w:hanging="360"/>
      </w:pPr>
      <w:rPr>
        <w:rFonts w:ascii="Symbol" w:hAnsi="Symbol" w:hint="default"/>
      </w:rPr>
    </w:lvl>
    <w:lvl w:ilvl="4" w:tplc="08090003">
      <w:start w:val="1"/>
      <w:numFmt w:val="bullet"/>
      <w:lvlText w:val="o"/>
      <w:lvlJc w:val="left"/>
      <w:pPr>
        <w:ind w:left="3903" w:hanging="360"/>
      </w:pPr>
      <w:rPr>
        <w:rFonts w:ascii="Courier New" w:hAnsi="Courier New" w:cs="Courier New" w:hint="default"/>
      </w:rPr>
    </w:lvl>
    <w:lvl w:ilvl="5" w:tplc="08090005">
      <w:start w:val="1"/>
      <w:numFmt w:val="bullet"/>
      <w:lvlText w:val=""/>
      <w:lvlJc w:val="left"/>
      <w:pPr>
        <w:ind w:left="4623" w:hanging="360"/>
      </w:pPr>
      <w:rPr>
        <w:rFonts w:ascii="Wingdings" w:hAnsi="Wingdings" w:hint="default"/>
      </w:rPr>
    </w:lvl>
    <w:lvl w:ilvl="6" w:tplc="08090001">
      <w:start w:val="1"/>
      <w:numFmt w:val="bullet"/>
      <w:lvlText w:val=""/>
      <w:lvlJc w:val="left"/>
      <w:pPr>
        <w:ind w:left="5343" w:hanging="360"/>
      </w:pPr>
      <w:rPr>
        <w:rFonts w:ascii="Symbol" w:hAnsi="Symbol" w:hint="default"/>
      </w:rPr>
    </w:lvl>
    <w:lvl w:ilvl="7" w:tplc="08090003">
      <w:start w:val="1"/>
      <w:numFmt w:val="bullet"/>
      <w:lvlText w:val="o"/>
      <w:lvlJc w:val="left"/>
      <w:pPr>
        <w:ind w:left="6063" w:hanging="360"/>
      </w:pPr>
      <w:rPr>
        <w:rFonts w:ascii="Courier New" w:hAnsi="Courier New" w:cs="Courier New" w:hint="default"/>
      </w:rPr>
    </w:lvl>
    <w:lvl w:ilvl="8" w:tplc="08090005">
      <w:start w:val="1"/>
      <w:numFmt w:val="bullet"/>
      <w:lvlText w:val=""/>
      <w:lvlJc w:val="left"/>
      <w:pPr>
        <w:ind w:left="6783"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1B52541E"/>
    <w:multiLevelType w:val="hybridMultilevel"/>
    <w:tmpl w:val="BFD0226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C1792D"/>
    <w:multiLevelType w:val="hybridMultilevel"/>
    <w:tmpl w:val="D6C25DB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4"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032D4D"/>
    <w:multiLevelType w:val="hybridMultilevel"/>
    <w:tmpl w:val="0AD4C2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5"/>
  </w:num>
  <w:num w:numId="3">
    <w:abstractNumId w:val="17"/>
  </w:num>
  <w:num w:numId="4">
    <w:abstractNumId w:val="10"/>
  </w:num>
  <w:num w:numId="5">
    <w:abstractNumId w:val="14"/>
  </w:num>
  <w:num w:numId="6">
    <w:abstractNumId w:val="7"/>
  </w:num>
  <w:num w:numId="7">
    <w:abstractNumId w:val="5"/>
  </w:num>
  <w:num w:numId="8">
    <w:abstractNumId w:val="6"/>
  </w:num>
  <w:num w:numId="9">
    <w:abstractNumId w:val="1"/>
  </w:num>
  <w:num w:numId="10">
    <w:abstractNumId w:val="3"/>
  </w:num>
  <w:num w:numId="11">
    <w:abstractNumId w:val="4"/>
  </w:num>
  <w:num w:numId="12">
    <w:abstractNumId w:val="11"/>
  </w:num>
  <w:num w:numId="13">
    <w:abstractNumId w:val="0"/>
  </w:num>
  <w:num w:numId="14">
    <w:abstractNumId w:val="18"/>
  </w:num>
  <w:num w:numId="15">
    <w:abstractNumId w:val="8"/>
  </w:num>
  <w:num w:numId="16">
    <w:abstractNumId w:val="13"/>
  </w:num>
  <w:num w:numId="17">
    <w:abstractNumId w:val="9"/>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BB"/>
    <w:rsid w:val="00002742"/>
    <w:rsid w:val="00016DD3"/>
    <w:rsid w:val="00025DED"/>
    <w:rsid w:val="000920EC"/>
    <w:rsid w:val="000B5251"/>
    <w:rsid w:val="000D6163"/>
    <w:rsid w:val="000D7845"/>
    <w:rsid w:val="000E10FE"/>
    <w:rsid w:val="000F2C8A"/>
    <w:rsid w:val="001544DD"/>
    <w:rsid w:val="00184E1D"/>
    <w:rsid w:val="001938D6"/>
    <w:rsid w:val="001C5E49"/>
    <w:rsid w:val="002221BD"/>
    <w:rsid w:val="0025591B"/>
    <w:rsid w:val="002820A5"/>
    <w:rsid w:val="002E4FF4"/>
    <w:rsid w:val="002F5C5E"/>
    <w:rsid w:val="00342AB1"/>
    <w:rsid w:val="00345C71"/>
    <w:rsid w:val="00386AAD"/>
    <w:rsid w:val="003902A2"/>
    <w:rsid w:val="00392AAE"/>
    <w:rsid w:val="003A1B3F"/>
    <w:rsid w:val="003A23D3"/>
    <w:rsid w:val="003A2919"/>
    <w:rsid w:val="003B1E6D"/>
    <w:rsid w:val="003C36EB"/>
    <w:rsid w:val="003E33E6"/>
    <w:rsid w:val="003F5603"/>
    <w:rsid w:val="00403F34"/>
    <w:rsid w:val="00405D4A"/>
    <w:rsid w:val="004112C4"/>
    <w:rsid w:val="004218EA"/>
    <w:rsid w:val="00442C46"/>
    <w:rsid w:val="00474DA8"/>
    <w:rsid w:val="0047741D"/>
    <w:rsid w:val="00480115"/>
    <w:rsid w:val="00491DF0"/>
    <w:rsid w:val="00493D1A"/>
    <w:rsid w:val="004A45D4"/>
    <w:rsid w:val="004D7260"/>
    <w:rsid w:val="004F23B3"/>
    <w:rsid w:val="005041BB"/>
    <w:rsid w:val="00525728"/>
    <w:rsid w:val="00533525"/>
    <w:rsid w:val="00547120"/>
    <w:rsid w:val="00547481"/>
    <w:rsid w:val="00555406"/>
    <w:rsid w:val="00566622"/>
    <w:rsid w:val="00576A82"/>
    <w:rsid w:val="005A26AD"/>
    <w:rsid w:val="005B0C36"/>
    <w:rsid w:val="005D4F59"/>
    <w:rsid w:val="005E6FBB"/>
    <w:rsid w:val="0060374B"/>
    <w:rsid w:val="00630F86"/>
    <w:rsid w:val="00633396"/>
    <w:rsid w:val="00645A0B"/>
    <w:rsid w:val="006555E6"/>
    <w:rsid w:val="006879CA"/>
    <w:rsid w:val="006B645E"/>
    <w:rsid w:val="006B7116"/>
    <w:rsid w:val="006C04C1"/>
    <w:rsid w:val="006C209A"/>
    <w:rsid w:val="006D09CD"/>
    <w:rsid w:val="006E09FB"/>
    <w:rsid w:val="006F2214"/>
    <w:rsid w:val="006F76A3"/>
    <w:rsid w:val="00707E99"/>
    <w:rsid w:val="00712E3F"/>
    <w:rsid w:val="00772B9C"/>
    <w:rsid w:val="00792A2B"/>
    <w:rsid w:val="007F277A"/>
    <w:rsid w:val="00893AD2"/>
    <w:rsid w:val="008A2F6B"/>
    <w:rsid w:val="008A42E3"/>
    <w:rsid w:val="008A77AB"/>
    <w:rsid w:val="008B0FA2"/>
    <w:rsid w:val="008B41C5"/>
    <w:rsid w:val="008C3B1A"/>
    <w:rsid w:val="008D623F"/>
    <w:rsid w:val="008F4B91"/>
    <w:rsid w:val="0090542C"/>
    <w:rsid w:val="009350CB"/>
    <w:rsid w:val="009538AE"/>
    <w:rsid w:val="009620D2"/>
    <w:rsid w:val="00980267"/>
    <w:rsid w:val="00983CD5"/>
    <w:rsid w:val="00992E79"/>
    <w:rsid w:val="009A714A"/>
    <w:rsid w:val="009C1143"/>
    <w:rsid w:val="009E48E0"/>
    <w:rsid w:val="00A00A02"/>
    <w:rsid w:val="00A1406A"/>
    <w:rsid w:val="00A22D02"/>
    <w:rsid w:val="00A30426"/>
    <w:rsid w:val="00A4702E"/>
    <w:rsid w:val="00A50754"/>
    <w:rsid w:val="00A56681"/>
    <w:rsid w:val="00A76482"/>
    <w:rsid w:val="00AC4A99"/>
    <w:rsid w:val="00AD4047"/>
    <w:rsid w:val="00B05FE8"/>
    <w:rsid w:val="00B1788B"/>
    <w:rsid w:val="00B443DD"/>
    <w:rsid w:val="00B51DB8"/>
    <w:rsid w:val="00B62D79"/>
    <w:rsid w:val="00B70B91"/>
    <w:rsid w:val="00B716F5"/>
    <w:rsid w:val="00B71A04"/>
    <w:rsid w:val="00B72A06"/>
    <w:rsid w:val="00B766C4"/>
    <w:rsid w:val="00B92298"/>
    <w:rsid w:val="00BA2606"/>
    <w:rsid w:val="00BC6635"/>
    <w:rsid w:val="00BE2A3F"/>
    <w:rsid w:val="00C022F9"/>
    <w:rsid w:val="00C209E3"/>
    <w:rsid w:val="00C30128"/>
    <w:rsid w:val="00C52450"/>
    <w:rsid w:val="00C64ED1"/>
    <w:rsid w:val="00C66BAA"/>
    <w:rsid w:val="00C903AC"/>
    <w:rsid w:val="00CB32DF"/>
    <w:rsid w:val="00CC3246"/>
    <w:rsid w:val="00CD4C10"/>
    <w:rsid w:val="00CE3DA1"/>
    <w:rsid w:val="00CE4482"/>
    <w:rsid w:val="00CF6B60"/>
    <w:rsid w:val="00D03328"/>
    <w:rsid w:val="00D36638"/>
    <w:rsid w:val="00D37BAE"/>
    <w:rsid w:val="00D619BC"/>
    <w:rsid w:val="00D772AB"/>
    <w:rsid w:val="00D90A00"/>
    <w:rsid w:val="00D91845"/>
    <w:rsid w:val="00D9371C"/>
    <w:rsid w:val="00DB3FD0"/>
    <w:rsid w:val="00DD025C"/>
    <w:rsid w:val="00DE5E12"/>
    <w:rsid w:val="00E2196F"/>
    <w:rsid w:val="00E2276E"/>
    <w:rsid w:val="00E41950"/>
    <w:rsid w:val="00E569CB"/>
    <w:rsid w:val="00E577A2"/>
    <w:rsid w:val="00E60A53"/>
    <w:rsid w:val="00E63940"/>
    <w:rsid w:val="00E733A5"/>
    <w:rsid w:val="00E753EC"/>
    <w:rsid w:val="00E84459"/>
    <w:rsid w:val="00E971A2"/>
    <w:rsid w:val="00EB2D32"/>
    <w:rsid w:val="00EB7C94"/>
    <w:rsid w:val="00ED257A"/>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52D931"/>
  <w15:docId w15:val="{BF897745-F46D-4358-A70F-0E6B5675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D1707-499B-4F0F-A979-62963D16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65</TotalTime>
  <Pages>12</Pages>
  <Words>4171</Words>
  <Characters>24747</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Lynch, Charlotte</cp:lastModifiedBy>
  <cp:revision>7</cp:revision>
  <cp:lastPrinted>2019-01-30T15:55:00Z</cp:lastPrinted>
  <dcterms:created xsi:type="dcterms:W3CDTF">2019-01-30T15:06:00Z</dcterms:created>
  <dcterms:modified xsi:type="dcterms:W3CDTF">2019-01-30T17:03:00Z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1833592139</vt:i4>
  </property>
  <property fmtid="{D5CDD505-2E9C-101B-9397-08002B2CF9AE}" pid="3" name="_NewReviewCycle">
    <vt:lpwstr/>
  </property>
  <property fmtid="{D5CDD505-2E9C-101B-9397-08002B2CF9AE}" pid="4" name="_EmailSubject">
    <vt:lpwstr>SSJC Procurement Strategy Report </vt:lpwstr>
  </property>
  <property fmtid="{D5CDD505-2E9C-101B-9397-08002B2CF9AE}" pid="5" name="_AuthorEmail">
    <vt:lpwstr>janet.hinds@chorley.gov.uk</vt:lpwstr>
  </property>
  <property fmtid="{D5CDD505-2E9C-101B-9397-08002B2CF9AE}" pid="6" name="_AuthorEmailDisplayName">
    <vt:lpwstr>Janet Hinds</vt:lpwstr>
  </property>
  <property fmtid="{D5CDD505-2E9C-101B-9397-08002B2CF9AE}" pid="7" name="_ReviewingToolsShownOnce">
    <vt:lpwstr/>
  </property>
</Properties>
</file>